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6FE1" w14:textId="3A241039" w:rsidR="00877A5E" w:rsidRPr="00514F56" w:rsidRDefault="00E902FB" w:rsidP="00877A5E">
      <w:pPr>
        <w:pStyle w:val="NoSpacing"/>
        <w:jc w:val="center"/>
        <w:rPr>
          <w:rFonts w:ascii="Bookman Old Style" w:hAnsi="Bookman Old Style"/>
          <w:b/>
          <w:bCs/>
          <w:sz w:val="24"/>
          <w:szCs w:val="24"/>
        </w:rPr>
      </w:pPr>
      <w:r>
        <w:rPr>
          <w:rFonts w:ascii="Bookman Old Style" w:hAnsi="Bookman Old Style"/>
          <w:sz w:val="24"/>
          <w:szCs w:val="24"/>
        </w:rPr>
        <w:t xml:space="preserve"> </w:t>
      </w:r>
      <w:r w:rsidR="00723E41">
        <w:rPr>
          <w:rFonts w:ascii="Bookman Old Style" w:hAnsi="Bookman Old Style"/>
          <w:sz w:val="24"/>
          <w:szCs w:val="24"/>
        </w:rPr>
        <w:t xml:space="preserve"> </w:t>
      </w:r>
      <w:r w:rsidR="00877A5E" w:rsidRPr="00514F56">
        <w:rPr>
          <w:rFonts w:ascii="Bookman Old Style" w:hAnsi="Bookman Old Style"/>
          <w:b/>
          <w:bCs/>
          <w:sz w:val="24"/>
          <w:szCs w:val="24"/>
        </w:rPr>
        <w:t>THE STATE ELECTRICITY OMBUDSMAN</w:t>
      </w:r>
    </w:p>
    <w:p w14:paraId="0311C20A" w14:textId="379CA449" w:rsidR="00877A5E" w:rsidRDefault="00877A5E" w:rsidP="00877A5E">
      <w:pPr>
        <w:pStyle w:val="NoSpacing"/>
        <w:jc w:val="center"/>
        <w:rPr>
          <w:rFonts w:ascii="Bookman Old Style" w:hAnsi="Bookman Old Style"/>
          <w:sz w:val="24"/>
          <w:szCs w:val="24"/>
        </w:rPr>
      </w:pPr>
      <w:proofErr w:type="spellStart"/>
      <w:r>
        <w:rPr>
          <w:rFonts w:ascii="Bookman Old Style" w:hAnsi="Bookman Old Style"/>
          <w:sz w:val="24"/>
          <w:szCs w:val="24"/>
        </w:rPr>
        <w:t>Charangattu</w:t>
      </w:r>
      <w:proofErr w:type="spellEnd"/>
      <w:r>
        <w:rPr>
          <w:rFonts w:ascii="Bookman Old Style" w:hAnsi="Bookman Old Style"/>
          <w:sz w:val="24"/>
          <w:szCs w:val="24"/>
        </w:rPr>
        <w:t xml:space="preserve"> Bhavan, Building No.3</w:t>
      </w:r>
      <w:r w:rsidR="00644583">
        <w:rPr>
          <w:rFonts w:ascii="Bookman Old Style" w:hAnsi="Bookman Old Style"/>
          <w:sz w:val="24"/>
          <w:szCs w:val="24"/>
        </w:rPr>
        <w:t>8</w:t>
      </w:r>
      <w:r>
        <w:rPr>
          <w:rFonts w:ascii="Bookman Old Style" w:hAnsi="Bookman Old Style"/>
          <w:sz w:val="24"/>
          <w:szCs w:val="24"/>
        </w:rPr>
        <w:t>/</w:t>
      </w:r>
      <w:r w:rsidR="00644583">
        <w:rPr>
          <w:rFonts w:ascii="Bookman Old Style" w:hAnsi="Bookman Old Style"/>
          <w:sz w:val="24"/>
          <w:szCs w:val="24"/>
        </w:rPr>
        <w:t>28</w:t>
      </w:r>
      <w:r w:rsidR="00AC77BD">
        <w:rPr>
          <w:rFonts w:ascii="Bookman Old Style" w:hAnsi="Bookman Old Style"/>
          <w:sz w:val="24"/>
          <w:szCs w:val="24"/>
        </w:rPr>
        <w:t>2</w:t>
      </w:r>
      <w:r w:rsidR="00644583">
        <w:rPr>
          <w:rFonts w:ascii="Bookman Old Style" w:hAnsi="Bookman Old Style"/>
          <w:sz w:val="24"/>
          <w:szCs w:val="24"/>
        </w:rPr>
        <w:t>9</w:t>
      </w:r>
      <w:r>
        <w:rPr>
          <w:rFonts w:ascii="Bookman Old Style" w:hAnsi="Bookman Old Style"/>
          <w:sz w:val="24"/>
          <w:szCs w:val="24"/>
        </w:rPr>
        <w:t xml:space="preserve">, </w:t>
      </w:r>
    </w:p>
    <w:p w14:paraId="5B4DAF0E" w14:textId="77777777" w:rsidR="00877A5E" w:rsidRDefault="00877A5E" w:rsidP="00877A5E">
      <w:pPr>
        <w:pStyle w:val="NoSpacing"/>
        <w:jc w:val="center"/>
        <w:rPr>
          <w:rFonts w:ascii="Bookman Old Style" w:hAnsi="Bookman Old Style"/>
          <w:sz w:val="24"/>
          <w:szCs w:val="24"/>
        </w:rPr>
      </w:pPr>
      <w:proofErr w:type="spellStart"/>
      <w:r>
        <w:rPr>
          <w:rFonts w:ascii="Bookman Old Style" w:hAnsi="Bookman Old Style"/>
          <w:sz w:val="24"/>
          <w:szCs w:val="24"/>
        </w:rPr>
        <w:t>Mamangalam-Anchumana</w:t>
      </w:r>
      <w:proofErr w:type="spellEnd"/>
      <w:r>
        <w:rPr>
          <w:rFonts w:ascii="Bookman Old Style" w:hAnsi="Bookman Old Style"/>
          <w:sz w:val="24"/>
          <w:szCs w:val="24"/>
        </w:rPr>
        <w:t xml:space="preserve"> Road,</w:t>
      </w:r>
    </w:p>
    <w:p w14:paraId="4E41997C" w14:textId="77777777" w:rsidR="00877A5E" w:rsidRDefault="00877A5E" w:rsidP="00877A5E">
      <w:pPr>
        <w:pStyle w:val="NoSpacing"/>
        <w:jc w:val="center"/>
        <w:rPr>
          <w:rFonts w:ascii="Bookman Old Style" w:hAnsi="Bookman Old Style"/>
          <w:sz w:val="24"/>
          <w:szCs w:val="24"/>
        </w:rPr>
      </w:pPr>
      <w:proofErr w:type="spellStart"/>
      <w:r>
        <w:rPr>
          <w:rFonts w:ascii="Bookman Old Style" w:hAnsi="Bookman Old Style"/>
          <w:sz w:val="24"/>
          <w:szCs w:val="24"/>
        </w:rPr>
        <w:t>Edappally</w:t>
      </w:r>
      <w:proofErr w:type="spellEnd"/>
      <w:r>
        <w:rPr>
          <w:rFonts w:ascii="Bookman Old Style" w:hAnsi="Bookman Old Style"/>
          <w:sz w:val="24"/>
          <w:szCs w:val="24"/>
        </w:rPr>
        <w:t>, Kochi-682 024</w:t>
      </w:r>
    </w:p>
    <w:p w14:paraId="45A9FC05" w14:textId="77777777" w:rsidR="00877A5E" w:rsidRDefault="000749D0" w:rsidP="00877A5E">
      <w:pPr>
        <w:pStyle w:val="NoSpacing"/>
        <w:jc w:val="center"/>
        <w:rPr>
          <w:rFonts w:ascii="Bookman Old Style" w:hAnsi="Bookman Old Style"/>
          <w:sz w:val="24"/>
          <w:szCs w:val="24"/>
        </w:rPr>
      </w:pPr>
      <w:hyperlink r:id="rId7" w:history="1">
        <w:r w:rsidR="00877A5E">
          <w:rPr>
            <w:rStyle w:val="Hyperlink"/>
            <w:rFonts w:ascii="Bookman Old Style" w:hAnsi="Bookman Old Style" w:cs="Times New Roman"/>
            <w:color w:val="000000" w:themeColor="text1"/>
            <w:sz w:val="24"/>
            <w:szCs w:val="24"/>
          </w:rPr>
          <w:t>www.keralaeo.org</w:t>
        </w:r>
      </w:hyperlink>
      <w:r w:rsidR="00877A5E">
        <w:rPr>
          <w:rFonts w:ascii="Bookman Old Style" w:hAnsi="Bookman Old Style"/>
          <w:sz w:val="24"/>
          <w:szCs w:val="24"/>
        </w:rPr>
        <w:t xml:space="preserve">    Ph: 0484 2346488, Mob: 91 9539913269 </w:t>
      </w:r>
    </w:p>
    <w:p w14:paraId="25361AB8" w14:textId="77777777" w:rsidR="00877A5E" w:rsidRDefault="00877A5E" w:rsidP="00877A5E">
      <w:pPr>
        <w:pStyle w:val="NoSpacing"/>
        <w:pBdr>
          <w:bottom w:val="single" w:sz="4" w:space="1" w:color="auto"/>
        </w:pBdr>
        <w:jc w:val="center"/>
        <w:rPr>
          <w:rFonts w:ascii="Bookman Old Style" w:hAnsi="Bookman Old Style"/>
          <w:sz w:val="24"/>
          <w:szCs w:val="24"/>
        </w:rPr>
      </w:pPr>
      <w:r>
        <w:rPr>
          <w:rFonts w:ascii="Bookman Old Style" w:hAnsi="Bookman Old Style"/>
          <w:sz w:val="24"/>
          <w:szCs w:val="24"/>
        </w:rPr>
        <w:t>Email: ombudsman.electricity@gmail.com</w:t>
      </w:r>
    </w:p>
    <w:p w14:paraId="27ABC296" w14:textId="77777777" w:rsidR="00877A5E" w:rsidRDefault="00877A5E" w:rsidP="00877A5E">
      <w:pPr>
        <w:pStyle w:val="NoSpacing"/>
        <w:jc w:val="center"/>
        <w:rPr>
          <w:rFonts w:ascii="Bookman Old Style" w:hAnsi="Bookman Old Style"/>
          <w:sz w:val="24"/>
          <w:szCs w:val="24"/>
        </w:rPr>
      </w:pPr>
    </w:p>
    <w:p w14:paraId="731A6193" w14:textId="1A8F3B4B" w:rsidR="00C76DEA" w:rsidRPr="00F7638F" w:rsidRDefault="00C76DEA" w:rsidP="00C76DEA">
      <w:pPr>
        <w:widowControl w:val="0"/>
        <w:autoSpaceDE w:val="0"/>
        <w:autoSpaceDN w:val="0"/>
        <w:adjustRightInd w:val="0"/>
        <w:spacing w:after="0" w:line="240" w:lineRule="auto"/>
        <w:jc w:val="center"/>
        <w:rPr>
          <w:rFonts w:ascii="Bookman Old Style" w:hAnsi="Bookman Old Style" w:cs="Bookman Old Style"/>
          <w:b/>
          <w:sz w:val="24"/>
          <w:szCs w:val="24"/>
          <w:lang w:val="en"/>
        </w:rPr>
      </w:pPr>
      <w:r w:rsidRPr="00F7638F">
        <w:rPr>
          <w:rFonts w:ascii="Bookman Old Style" w:hAnsi="Bookman Old Style" w:cs="Bookman Old Style"/>
          <w:b/>
          <w:sz w:val="24"/>
          <w:szCs w:val="24"/>
          <w:lang w:val="en"/>
        </w:rPr>
        <w:t>REVIEW PETITION No. R</w:t>
      </w:r>
      <w:r>
        <w:rPr>
          <w:rFonts w:ascii="Bookman Old Style" w:hAnsi="Bookman Old Style" w:cs="Bookman Old Style"/>
          <w:b/>
          <w:sz w:val="24"/>
          <w:szCs w:val="24"/>
          <w:lang w:val="en"/>
        </w:rPr>
        <w:t>.</w:t>
      </w:r>
      <w:r w:rsidRPr="00F7638F">
        <w:rPr>
          <w:rFonts w:ascii="Bookman Old Style" w:hAnsi="Bookman Old Style" w:cs="Bookman Old Style"/>
          <w:b/>
          <w:sz w:val="24"/>
          <w:szCs w:val="24"/>
          <w:lang w:val="en"/>
        </w:rPr>
        <w:t>P</w:t>
      </w:r>
      <w:r>
        <w:rPr>
          <w:rFonts w:ascii="Bookman Old Style" w:hAnsi="Bookman Old Style" w:cs="Bookman Old Style"/>
          <w:b/>
          <w:sz w:val="24"/>
          <w:szCs w:val="24"/>
          <w:lang w:val="en"/>
        </w:rPr>
        <w:t>-</w:t>
      </w:r>
      <w:r w:rsidRPr="00F7638F">
        <w:rPr>
          <w:rFonts w:ascii="Bookman Old Style" w:hAnsi="Bookman Old Style" w:cs="Bookman Old Style"/>
          <w:b/>
          <w:sz w:val="24"/>
          <w:szCs w:val="24"/>
          <w:lang w:val="en"/>
        </w:rPr>
        <w:t>0</w:t>
      </w:r>
      <w:r>
        <w:rPr>
          <w:rFonts w:ascii="Bookman Old Style" w:hAnsi="Bookman Old Style" w:cs="Bookman Old Style"/>
          <w:b/>
          <w:sz w:val="24"/>
          <w:szCs w:val="24"/>
          <w:lang w:val="en"/>
        </w:rPr>
        <w:t>0</w:t>
      </w:r>
      <w:r w:rsidRPr="00F7638F">
        <w:rPr>
          <w:rFonts w:ascii="Bookman Old Style" w:hAnsi="Bookman Old Style" w:cs="Bookman Old Style"/>
          <w:b/>
          <w:sz w:val="24"/>
          <w:szCs w:val="24"/>
          <w:lang w:val="en"/>
        </w:rPr>
        <w:t>1/202</w:t>
      </w:r>
      <w:r>
        <w:rPr>
          <w:rFonts w:ascii="Bookman Old Style" w:hAnsi="Bookman Old Style" w:cs="Bookman Old Style"/>
          <w:b/>
          <w:sz w:val="24"/>
          <w:szCs w:val="24"/>
          <w:lang w:val="en"/>
        </w:rPr>
        <w:t>2</w:t>
      </w:r>
    </w:p>
    <w:p w14:paraId="561E2A74" w14:textId="3E6FFF78" w:rsidR="00C76DEA" w:rsidRPr="00F7638F" w:rsidRDefault="00C76DEA" w:rsidP="00C76DEA">
      <w:pPr>
        <w:widowControl w:val="0"/>
        <w:autoSpaceDE w:val="0"/>
        <w:autoSpaceDN w:val="0"/>
        <w:adjustRightInd w:val="0"/>
        <w:spacing w:after="0"/>
        <w:jc w:val="center"/>
        <w:rPr>
          <w:rFonts w:ascii="Bookman Old Style" w:hAnsi="Bookman Old Style" w:cs="Bookman Old Style"/>
          <w:b/>
          <w:sz w:val="24"/>
          <w:szCs w:val="24"/>
          <w:lang w:val="en"/>
        </w:rPr>
      </w:pPr>
      <w:r w:rsidRPr="00F7638F">
        <w:rPr>
          <w:rFonts w:ascii="Bookman Old Style" w:hAnsi="Bookman Old Style" w:cs="Bookman Old Style"/>
          <w:b/>
          <w:sz w:val="24"/>
          <w:szCs w:val="24"/>
          <w:lang w:val="en"/>
        </w:rPr>
        <w:t>IN APPEAL PETITION N</w:t>
      </w:r>
      <w:r>
        <w:rPr>
          <w:rFonts w:ascii="Bookman Old Style" w:hAnsi="Bookman Old Style" w:cs="Bookman Old Style"/>
          <w:b/>
          <w:sz w:val="24"/>
          <w:szCs w:val="24"/>
          <w:lang w:val="en"/>
        </w:rPr>
        <w:t>o</w:t>
      </w:r>
      <w:r w:rsidRPr="00F7638F">
        <w:rPr>
          <w:rFonts w:ascii="Bookman Old Style" w:hAnsi="Bookman Old Style" w:cs="Bookman Old Style"/>
          <w:b/>
          <w:sz w:val="24"/>
          <w:szCs w:val="24"/>
          <w:lang w:val="en"/>
        </w:rPr>
        <w:t>: P-0</w:t>
      </w:r>
      <w:r>
        <w:rPr>
          <w:rFonts w:ascii="Bookman Old Style" w:hAnsi="Bookman Old Style" w:cs="Bookman Old Style"/>
          <w:b/>
          <w:sz w:val="24"/>
          <w:szCs w:val="24"/>
          <w:lang w:val="en"/>
        </w:rPr>
        <w:t>59</w:t>
      </w:r>
      <w:r w:rsidRPr="00F7638F">
        <w:rPr>
          <w:rFonts w:ascii="Bookman Old Style" w:hAnsi="Bookman Old Style" w:cs="Bookman Old Style"/>
          <w:b/>
          <w:sz w:val="24"/>
          <w:szCs w:val="24"/>
          <w:lang w:val="en"/>
        </w:rPr>
        <w:t>/2021</w:t>
      </w:r>
    </w:p>
    <w:p w14:paraId="5E4F8D43" w14:textId="77777777" w:rsidR="00C76DEA" w:rsidRPr="00F7638F" w:rsidRDefault="00C76DEA" w:rsidP="00C76DEA">
      <w:pPr>
        <w:widowControl w:val="0"/>
        <w:autoSpaceDE w:val="0"/>
        <w:autoSpaceDN w:val="0"/>
        <w:adjustRightInd w:val="0"/>
        <w:spacing w:after="0" w:line="240" w:lineRule="auto"/>
        <w:jc w:val="center"/>
        <w:rPr>
          <w:rFonts w:ascii="Bookman Old Style" w:hAnsi="Bookman Old Style" w:cs="Bookman Old Style"/>
          <w:b/>
          <w:sz w:val="24"/>
          <w:szCs w:val="24"/>
          <w:lang w:val="en"/>
        </w:rPr>
      </w:pPr>
      <w:r w:rsidRPr="00F7638F">
        <w:rPr>
          <w:rFonts w:ascii="Bookman Old Style" w:hAnsi="Bookman Old Style" w:cs="Bookman Old Style"/>
          <w:b/>
          <w:sz w:val="24"/>
          <w:szCs w:val="24"/>
          <w:lang w:val="en"/>
        </w:rPr>
        <w:t xml:space="preserve">(Present: A.S. </w:t>
      </w:r>
      <w:proofErr w:type="spellStart"/>
      <w:r w:rsidRPr="00F7638F">
        <w:rPr>
          <w:rFonts w:ascii="Bookman Old Style" w:hAnsi="Bookman Old Style" w:cs="Bookman Old Style"/>
          <w:b/>
          <w:sz w:val="24"/>
          <w:szCs w:val="24"/>
          <w:lang w:val="en"/>
        </w:rPr>
        <w:t>Dasappan</w:t>
      </w:r>
      <w:proofErr w:type="spellEnd"/>
      <w:r w:rsidRPr="00F7638F">
        <w:rPr>
          <w:rFonts w:ascii="Bookman Old Style" w:hAnsi="Bookman Old Style" w:cs="Bookman Old Style"/>
          <w:b/>
          <w:sz w:val="24"/>
          <w:szCs w:val="24"/>
          <w:lang w:val="en"/>
        </w:rPr>
        <w:t>)</w:t>
      </w:r>
    </w:p>
    <w:p w14:paraId="2CEB3D79" w14:textId="19AB401D" w:rsidR="00C76DEA" w:rsidRPr="00F7638F" w:rsidRDefault="00C76DEA" w:rsidP="00C76DEA">
      <w:pPr>
        <w:widowControl w:val="0"/>
        <w:autoSpaceDE w:val="0"/>
        <w:autoSpaceDN w:val="0"/>
        <w:adjustRightInd w:val="0"/>
        <w:spacing w:after="120" w:line="240" w:lineRule="auto"/>
        <w:jc w:val="center"/>
        <w:rPr>
          <w:rFonts w:ascii="Bookman Old Style" w:hAnsi="Bookman Old Style" w:cs="Bookman Old Style"/>
          <w:b/>
          <w:sz w:val="24"/>
          <w:szCs w:val="24"/>
          <w:lang w:val="en"/>
        </w:rPr>
      </w:pPr>
      <w:r w:rsidRPr="00F7638F">
        <w:rPr>
          <w:rFonts w:ascii="Bookman Old Style" w:hAnsi="Bookman Old Style" w:cs="Bookman Old Style"/>
          <w:b/>
          <w:sz w:val="24"/>
          <w:szCs w:val="24"/>
          <w:lang w:val="en"/>
        </w:rPr>
        <w:t xml:space="preserve">Dated: </w:t>
      </w:r>
      <w:r w:rsidR="00A160E7">
        <w:rPr>
          <w:rFonts w:ascii="Bookman Old Style" w:hAnsi="Bookman Old Style" w:cs="Bookman Old Style"/>
          <w:b/>
          <w:sz w:val="24"/>
          <w:szCs w:val="24"/>
          <w:lang w:val="en"/>
        </w:rPr>
        <w:t>13</w:t>
      </w:r>
      <w:r w:rsidR="00A160E7" w:rsidRPr="00A160E7">
        <w:rPr>
          <w:rFonts w:ascii="Bookman Old Style" w:hAnsi="Bookman Old Style" w:cs="Bookman Old Style"/>
          <w:b/>
          <w:sz w:val="24"/>
          <w:szCs w:val="24"/>
          <w:vertAlign w:val="superscript"/>
          <w:lang w:val="en"/>
        </w:rPr>
        <w:t>th</w:t>
      </w:r>
      <w:r w:rsidR="00A160E7">
        <w:rPr>
          <w:rFonts w:ascii="Bookman Old Style" w:hAnsi="Bookman Old Style" w:cs="Bookman Old Style"/>
          <w:b/>
          <w:sz w:val="24"/>
          <w:szCs w:val="24"/>
          <w:lang w:val="en"/>
        </w:rPr>
        <w:t xml:space="preserve"> </w:t>
      </w:r>
      <w:r>
        <w:rPr>
          <w:rFonts w:ascii="Bookman Old Style" w:hAnsi="Bookman Old Style" w:cs="Bookman Old Style"/>
          <w:b/>
          <w:sz w:val="24"/>
          <w:szCs w:val="24"/>
          <w:lang w:val="en"/>
        </w:rPr>
        <w:t>April,</w:t>
      </w:r>
      <w:r w:rsidRPr="00F7638F">
        <w:rPr>
          <w:rFonts w:ascii="Bookman Old Style" w:hAnsi="Bookman Old Style" w:cs="Bookman Old Style"/>
          <w:b/>
          <w:sz w:val="24"/>
          <w:szCs w:val="24"/>
          <w:lang w:val="en"/>
        </w:rPr>
        <w:t xml:space="preserve"> 202</w:t>
      </w:r>
      <w:r>
        <w:rPr>
          <w:rFonts w:ascii="Bookman Old Style" w:hAnsi="Bookman Old Style" w:cs="Bookman Old Style"/>
          <w:b/>
          <w:sz w:val="24"/>
          <w:szCs w:val="24"/>
          <w:lang w:val="en"/>
        </w:rPr>
        <w:t>2</w:t>
      </w:r>
    </w:p>
    <w:p w14:paraId="3979F468" w14:textId="77777777" w:rsidR="00C76DEA" w:rsidRDefault="00C76DEA" w:rsidP="00877A5E">
      <w:pPr>
        <w:pStyle w:val="NoSpacing"/>
        <w:jc w:val="center"/>
        <w:rPr>
          <w:rFonts w:ascii="Bookman Old Style" w:hAnsi="Bookman Old Style"/>
          <w:b/>
          <w:bCs/>
          <w:sz w:val="24"/>
          <w:szCs w:val="24"/>
        </w:rPr>
      </w:pPr>
    </w:p>
    <w:p w14:paraId="105DFCC1" w14:textId="77777777" w:rsidR="00C76DEA" w:rsidRDefault="00877A5E" w:rsidP="000D6CBF">
      <w:pPr>
        <w:spacing w:after="0" w:line="240" w:lineRule="auto"/>
        <w:jc w:val="both"/>
        <w:rPr>
          <w:rFonts w:ascii="Bookman Old Style" w:hAnsi="Bookman Old Style"/>
          <w:sz w:val="24"/>
          <w:szCs w:val="24"/>
        </w:rPr>
      </w:pPr>
      <w:r>
        <w:rPr>
          <w:rFonts w:ascii="Bookman Old Style" w:hAnsi="Bookman Old Style"/>
          <w:sz w:val="24"/>
          <w:szCs w:val="24"/>
        </w:rPr>
        <w:t xml:space="preserve">  </w:t>
      </w:r>
      <w:r w:rsidR="000A5245">
        <w:rPr>
          <w:rFonts w:ascii="Bookman Old Style" w:hAnsi="Bookman Old Style"/>
          <w:sz w:val="24"/>
          <w:szCs w:val="24"/>
        </w:rPr>
        <w:tab/>
      </w:r>
      <w:r w:rsidR="007C328B">
        <w:rPr>
          <w:rFonts w:ascii="Bookman Old Style" w:hAnsi="Bookman Old Style"/>
          <w:sz w:val="24"/>
          <w:szCs w:val="24"/>
        </w:rPr>
        <w:tab/>
      </w:r>
    </w:p>
    <w:p w14:paraId="03B997C8" w14:textId="50C5B7CC" w:rsidR="00C76DEA" w:rsidRDefault="00C76DEA" w:rsidP="000256B9">
      <w:pPr>
        <w:pStyle w:val="NoSpacing"/>
        <w:tabs>
          <w:tab w:val="left" w:pos="0"/>
        </w:tabs>
        <w:rPr>
          <w:rFonts w:ascii="Bookman Old Style" w:eastAsia="Bookman Old Style" w:hAnsi="Bookman Old Style" w:cs="Bookman Old Style"/>
          <w:sz w:val="24"/>
        </w:rPr>
      </w:pPr>
      <w:r>
        <w:rPr>
          <w:rFonts w:ascii="Bookman Old Style" w:hAnsi="Bookman Old Style"/>
          <w:sz w:val="24"/>
          <w:szCs w:val="24"/>
        </w:rPr>
        <w:tab/>
        <w:t xml:space="preserve">Review Petitioner       </w:t>
      </w:r>
      <w:r>
        <w:rPr>
          <w:rFonts w:ascii="Bookman Old Style" w:hAnsi="Bookman Old Style"/>
          <w:sz w:val="24"/>
          <w:szCs w:val="24"/>
        </w:rPr>
        <w:tab/>
        <w:t>:</w:t>
      </w:r>
      <w:r>
        <w:rPr>
          <w:rFonts w:ascii="Bookman Old Style" w:hAnsi="Bookman Old Style"/>
          <w:sz w:val="24"/>
          <w:szCs w:val="24"/>
        </w:rPr>
        <w:tab/>
      </w:r>
      <w:r>
        <w:rPr>
          <w:rFonts w:ascii="Bookman Old Style" w:hAnsi="Bookman Old Style"/>
          <w:sz w:val="24"/>
          <w:szCs w:val="24"/>
        </w:rPr>
        <w:tab/>
      </w:r>
      <w:r>
        <w:rPr>
          <w:rFonts w:ascii="Bookman Old Style" w:eastAsia="Bookman Old Style" w:hAnsi="Bookman Old Style" w:cs="Bookman Old Style"/>
          <w:sz w:val="24"/>
        </w:rPr>
        <w:t xml:space="preserve">Assistant Executive Engineer, </w:t>
      </w:r>
    </w:p>
    <w:p w14:paraId="020075C1" w14:textId="77777777" w:rsidR="00C76DEA" w:rsidRDefault="00C76DEA" w:rsidP="00C76DEA">
      <w:pPr>
        <w:pStyle w:val="NoSpacing"/>
        <w:ind w:left="4320" w:firstLine="720"/>
        <w:rPr>
          <w:rFonts w:ascii="Bookman Old Style" w:eastAsia="Bookman Old Style" w:hAnsi="Bookman Old Style" w:cs="Bookman Old Style"/>
          <w:sz w:val="24"/>
        </w:rPr>
      </w:pPr>
      <w:r>
        <w:rPr>
          <w:rFonts w:ascii="Bookman Old Style" w:eastAsia="Bookman Old Style" w:hAnsi="Bookman Old Style" w:cs="Bookman Old Style"/>
          <w:sz w:val="24"/>
        </w:rPr>
        <w:t>Electrical Sub Division, KSEB Ltd.,</w:t>
      </w:r>
    </w:p>
    <w:p w14:paraId="65F2A5B3" w14:textId="66B21306" w:rsidR="00C76DEA" w:rsidRDefault="00C76DEA" w:rsidP="00C76DEA">
      <w:pPr>
        <w:spacing w:after="0" w:line="240" w:lineRule="auto"/>
        <w:ind w:left="4320" w:firstLine="720"/>
        <w:jc w:val="both"/>
        <w:rPr>
          <w:rFonts w:ascii="Bookman Old Style" w:hAnsi="Bookman Old Style"/>
          <w:sz w:val="24"/>
          <w:szCs w:val="24"/>
        </w:rPr>
      </w:pPr>
      <w:proofErr w:type="spellStart"/>
      <w:r>
        <w:rPr>
          <w:rFonts w:ascii="Bookman Old Style" w:eastAsia="Bookman Old Style" w:hAnsi="Bookman Old Style" w:cs="Bookman Old Style"/>
          <w:sz w:val="24"/>
        </w:rPr>
        <w:t>Pinarayi</w:t>
      </w:r>
      <w:proofErr w:type="spellEnd"/>
      <w:r>
        <w:rPr>
          <w:rFonts w:ascii="Bookman Old Style" w:eastAsia="Bookman Old Style" w:hAnsi="Bookman Old Style" w:cs="Bookman Old Style"/>
          <w:sz w:val="24"/>
        </w:rPr>
        <w:t>, Kannur</w:t>
      </w:r>
      <w:r w:rsidRPr="006C5E10">
        <w:rPr>
          <w:rFonts w:ascii="Bookman Old Style" w:eastAsia="Bookman Old Style" w:hAnsi="Bookman Old Style" w:cs="Bookman Old Style"/>
          <w:sz w:val="24"/>
        </w:rPr>
        <w:t xml:space="preserve"> Dist.</w:t>
      </w:r>
      <w:r>
        <w:rPr>
          <w:rFonts w:ascii="Bookman Old Style" w:hAnsi="Bookman Old Style"/>
          <w:sz w:val="24"/>
          <w:szCs w:val="24"/>
        </w:rPr>
        <w:tab/>
      </w:r>
    </w:p>
    <w:p w14:paraId="2ABE3962" w14:textId="77777777" w:rsidR="00C76DEA" w:rsidRDefault="00C76DEA" w:rsidP="000D6CBF">
      <w:pPr>
        <w:spacing w:after="0" w:line="240" w:lineRule="auto"/>
        <w:jc w:val="both"/>
        <w:rPr>
          <w:rFonts w:ascii="Bookman Old Style" w:hAnsi="Bookman Old Style"/>
          <w:sz w:val="24"/>
          <w:szCs w:val="24"/>
        </w:rPr>
      </w:pPr>
    </w:p>
    <w:p w14:paraId="0F6BB7AB" w14:textId="77777777" w:rsidR="00C76DEA" w:rsidRDefault="00C76DEA" w:rsidP="000D6CBF">
      <w:pPr>
        <w:spacing w:after="0" w:line="240" w:lineRule="auto"/>
        <w:jc w:val="both"/>
        <w:rPr>
          <w:rFonts w:ascii="Bookman Old Style" w:hAnsi="Bookman Old Style"/>
          <w:sz w:val="24"/>
          <w:szCs w:val="24"/>
        </w:rPr>
      </w:pPr>
    </w:p>
    <w:p w14:paraId="39D86824" w14:textId="1FCD5DC0" w:rsidR="000D6CBF" w:rsidRPr="000D6CBF" w:rsidRDefault="00C76DEA" w:rsidP="00C76DEA">
      <w:pPr>
        <w:spacing w:after="0" w:line="240" w:lineRule="auto"/>
        <w:ind w:firstLine="720"/>
        <w:jc w:val="both"/>
        <w:rPr>
          <w:rFonts w:ascii="Bookman Old Style" w:eastAsiaTheme="minorHAnsi" w:hAnsi="Bookman Old Style"/>
          <w:sz w:val="24"/>
          <w:szCs w:val="24"/>
          <w:lang w:bidi="en-US"/>
        </w:rPr>
      </w:pPr>
      <w:r>
        <w:rPr>
          <w:rFonts w:ascii="Bookman Old Style" w:hAnsi="Bookman Old Style"/>
          <w:sz w:val="24"/>
          <w:szCs w:val="24"/>
        </w:rPr>
        <w:t>Review Respondent</w:t>
      </w:r>
      <w:r w:rsidR="00877A5E">
        <w:rPr>
          <w:rFonts w:ascii="Bookman Old Style" w:hAnsi="Bookman Old Style"/>
          <w:sz w:val="24"/>
          <w:szCs w:val="24"/>
        </w:rPr>
        <w:tab/>
        <w:t xml:space="preserve">:        </w:t>
      </w:r>
      <w:r w:rsidR="005B17F3">
        <w:rPr>
          <w:rFonts w:ascii="Bookman Old Style" w:hAnsi="Bookman Old Style"/>
          <w:sz w:val="24"/>
          <w:szCs w:val="24"/>
        </w:rPr>
        <w:tab/>
      </w:r>
      <w:r w:rsidR="005B17F3">
        <w:rPr>
          <w:rFonts w:ascii="Bookman Old Style" w:hAnsi="Bookman Old Style"/>
          <w:sz w:val="24"/>
          <w:szCs w:val="24"/>
        </w:rPr>
        <w:tab/>
      </w:r>
      <w:r w:rsidR="000D6CBF" w:rsidRPr="000D6CBF">
        <w:rPr>
          <w:rFonts w:ascii="Bookman Old Style" w:eastAsiaTheme="minorHAnsi" w:hAnsi="Bookman Old Style"/>
          <w:sz w:val="24"/>
          <w:szCs w:val="24"/>
          <w:lang w:bidi="en-US"/>
        </w:rPr>
        <w:t xml:space="preserve">Sri. </w:t>
      </w:r>
      <w:proofErr w:type="spellStart"/>
      <w:r w:rsidR="000D6CBF" w:rsidRPr="000D6CBF">
        <w:rPr>
          <w:rFonts w:ascii="Bookman Old Style" w:eastAsiaTheme="minorHAnsi" w:hAnsi="Bookman Old Style"/>
          <w:sz w:val="24"/>
          <w:szCs w:val="24"/>
          <w:lang w:bidi="en-US"/>
        </w:rPr>
        <w:t>Noufal</w:t>
      </w:r>
      <w:proofErr w:type="spellEnd"/>
      <w:r w:rsidR="000D6CBF" w:rsidRPr="000D6CBF">
        <w:rPr>
          <w:rFonts w:ascii="Bookman Old Style" w:eastAsiaTheme="minorHAnsi" w:hAnsi="Bookman Old Style"/>
          <w:sz w:val="24"/>
          <w:szCs w:val="24"/>
          <w:lang w:bidi="en-US"/>
        </w:rPr>
        <w:t xml:space="preserve">. A., </w:t>
      </w:r>
    </w:p>
    <w:p w14:paraId="3E1FEFD7" w14:textId="3AE55CB1" w:rsidR="000D6CBF" w:rsidRPr="000D6CBF" w:rsidRDefault="000D6CBF" w:rsidP="000D6CBF">
      <w:pPr>
        <w:spacing w:after="0" w:line="240" w:lineRule="auto"/>
        <w:ind w:left="4320" w:firstLine="720"/>
        <w:jc w:val="both"/>
        <w:rPr>
          <w:rFonts w:ascii="Bookman Old Style" w:eastAsiaTheme="minorHAnsi" w:hAnsi="Bookman Old Style"/>
          <w:sz w:val="24"/>
          <w:szCs w:val="24"/>
          <w:lang w:bidi="en-US"/>
        </w:rPr>
      </w:pPr>
      <w:r w:rsidRPr="000D6CBF">
        <w:rPr>
          <w:rFonts w:ascii="Bookman Old Style" w:eastAsiaTheme="minorHAnsi" w:hAnsi="Bookman Old Style"/>
          <w:sz w:val="24"/>
          <w:szCs w:val="24"/>
          <w:lang w:bidi="en-US"/>
        </w:rPr>
        <w:t xml:space="preserve">Proprietor, </w:t>
      </w:r>
      <w:proofErr w:type="spellStart"/>
      <w:r w:rsidRPr="000D6CBF">
        <w:rPr>
          <w:rFonts w:ascii="Bookman Old Style" w:eastAsiaTheme="minorHAnsi" w:hAnsi="Bookman Old Style"/>
          <w:sz w:val="24"/>
          <w:szCs w:val="24"/>
          <w:lang w:bidi="en-US"/>
        </w:rPr>
        <w:t>Nama</w:t>
      </w:r>
      <w:r w:rsidR="006D5AC4">
        <w:rPr>
          <w:rFonts w:ascii="Bookman Old Style" w:eastAsiaTheme="minorHAnsi" w:hAnsi="Bookman Old Style"/>
          <w:sz w:val="24"/>
          <w:szCs w:val="24"/>
          <w:lang w:bidi="en-US"/>
        </w:rPr>
        <w:t>z</w:t>
      </w:r>
      <w:r w:rsidRPr="000D6CBF">
        <w:rPr>
          <w:rFonts w:ascii="Bookman Old Style" w:eastAsiaTheme="minorHAnsi" w:hAnsi="Bookman Old Style"/>
          <w:sz w:val="24"/>
          <w:szCs w:val="24"/>
          <w:lang w:bidi="en-US"/>
        </w:rPr>
        <w:t>co</w:t>
      </w:r>
      <w:proofErr w:type="spellEnd"/>
      <w:r w:rsidRPr="000D6CBF">
        <w:rPr>
          <w:rFonts w:ascii="Bookman Old Style" w:eastAsiaTheme="minorHAnsi" w:hAnsi="Bookman Old Style"/>
          <w:sz w:val="24"/>
          <w:szCs w:val="24"/>
          <w:lang w:bidi="en-US"/>
        </w:rPr>
        <w:t xml:space="preserve"> Pet Industries, </w:t>
      </w:r>
    </w:p>
    <w:p w14:paraId="6A40DEDF" w14:textId="77777777" w:rsidR="000D6CBF" w:rsidRPr="000D6CBF" w:rsidRDefault="000D6CBF" w:rsidP="000D6CBF">
      <w:pPr>
        <w:spacing w:after="0" w:line="240" w:lineRule="auto"/>
        <w:ind w:left="4320" w:firstLine="720"/>
        <w:jc w:val="both"/>
        <w:rPr>
          <w:rFonts w:ascii="Bookman Old Style" w:eastAsiaTheme="minorHAnsi" w:hAnsi="Bookman Old Style"/>
          <w:sz w:val="24"/>
          <w:szCs w:val="24"/>
          <w:lang w:bidi="en-US"/>
        </w:rPr>
      </w:pPr>
      <w:proofErr w:type="spellStart"/>
      <w:r w:rsidRPr="000D6CBF">
        <w:rPr>
          <w:rFonts w:ascii="Bookman Old Style" w:eastAsiaTheme="minorHAnsi" w:hAnsi="Bookman Old Style"/>
          <w:sz w:val="24"/>
          <w:szCs w:val="24"/>
          <w:lang w:bidi="en-US"/>
        </w:rPr>
        <w:t>Pachapoika</w:t>
      </w:r>
      <w:proofErr w:type="spellEnd"/>
      <w:r w:rsidRPr="000D6CBF">
        <w:rPr>
          <w:rFonts w:ascii="Bookman Old Style" w:eastAsiaTheme="minorHAnsi" w:hAnsi="Bookman Old Style"/>
          <w:sz w:val="24"/>
          <w:szCs w:val="24"/>
          <w:lang w:bidi="en-US"/>
        </w:rPr>
        <w:t xml:space="preserve">, </w:t>
      </w:r>
      <w:proofErr w:type="spellStart"/>
      <w:r w:rsidRPr="000D6CBF">
        <w:rPr>
          <w:rFonts w:ascii="Bookman Old Style" w:eastAsiaTheme="minorHAnsi" w:hAnsi="Bookman Old Style"/>
          <w:sz w:val="24"/>
          <w:szCs w:val="24"/>
          <w:lang w:bidi="en-US"/>
        </w:rPr>
        <w:t>Kuthuparamba</w:t>
      </w:r>
      <w:proofErr w:type="spellEnd"/>
      <w:r w:rsidRPr="000D6CBF">
        <w:rPr>
          <w:rFonts w:ascii="Bookman Old Style" w:eastAsiaTheme="minorHAnsi" w:hAnsi="Bookman Old Style"/>
          <w:sz w:val="24"/>
          <w:szCs w:val="24"/>
          <w:lang w:bidi="en-US"/>
        </w:rPr>
        <w:t xml:space="preserve">, </w:t>
      </w:r>
    </w:p>
    <w:p w14:paraId="55B3140F" w14:textId="77777777" w:rsidR="000D6CBF" w:rsidRPr="000D6CBF" w:rsidRDefault="000D6CBF" w:rsidP="000D6CBF">
      <w:pPr>
        <w:spacing w:after="0" w:line="240" w:lineRule="auto"/>
        <w:ind w:left="4320" w:firstLine="720"/>
        <w:jc w:val="both"/>
        <w:rPr>
          <w:rFonts w:ascii="Bookman Old Style" w:eastAsiaTheme="minorHAnsi" w:hAnsi="Bookman Old Style"/>
          <w:sz w:val="24"/>
          <w:szCs w:val="24"/>
          <w:lang w:bidi="en-US"/>
        </w:rPr>
      </w:pPr>
      <w:r w:rsidRPr="000D6CBF">
        <w:rPr>
          <w:rFonts w:ascii="Bookman Old Style" w:eastAsiaTheme="minorHAnsi" w:hAnsi="Bookman Old Style"/>
          <w:sz w:val="24"/>
          <w:szCs w:val="24"/>
          <w:lang w:bidi="en-US"/>
        </w:rPr>
        <w:t>Kannur Dist. 670643</w:t>
      </w:r>
    </w:p>
    <w:p w14:paraId="27767B31" w14:textId="61766436" w:rsidR="00877A5E" w:rsidRDefault="00877A5E" w:rsidP="00E70284">
      <w:pPr>
        <w:pStyle w:val="NoSpacing"/>
        <w:spacing w:after="120"/>
        <w:ind w:left="4320" w:firstLine="72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14:paraId="2718CD79" w14:textId="2A92E898" w:rsidR="00877A5E" w:rsidRDefault="00877A5E" w:rsidP="00A9181F">
      <w:pPr>
        <w:spacing w:after="0"/>
        <w:jc w:val="center"/>
        <w:rPr>
          <w:rFonts w:ascii="Bookman Old Style" w:hAnsi="Bookman Old Style"/>
          <w:b/>
          <w:sz w:val="24"/>
          <w:szCs w:val="24"/>
          <w:u w:val="single"/>
        </w:rPr>
      </w:pPr>
      <w:r w:rsidRPr="00877A5E">
        <w:rPr>
          <w:rFonts w:ascii="Bookman Old Style" w:hAnsi="Bookman Old Style"/>
          <w:b/>
          <w:sz w:val="24"/>
          <w:szCs w:val="24"/>
          <w:u w:val="single"/>
        </w:rPr>
        <w:t>ORDER</w:t>
      </w:r>
    </w:p>
    <w:p w14:paraId="60F1DD5E" w14:textId="77777777" w:rsidR="00D34AD2" w:rsidRDefault="00D34AD2" w:rsidP="00A9181F">
      <w:pPr>
        <w:spacing w:after="0"/>
        <w:jc w:val="center"/>
        <w:rPr>
          <w:rFonts w:ascii="Bookman Old Style" w:hAnsi="Bookman Old Style"/>
          <w:b/>
          <w:sz w:val="24"/>
          <w:szCs w:val="24"/>
          <w:u w:val="single"/>
        </w:rPr>
      </w:pPr>
    </w:p>
    <w:p w14:paraId="10989EF7" w14:textId="1EEE8D6C" w:rsidR="006A5C79" w:rsidRDefault="006A5C79" w:rsidP="00163B53">
      <w:pPr>
        <w:pStyle w:val="NoSpacing"/>
        <w:jc w:val="both"/>
        <w:rPr>
          <w:rFonts w:ascii="Bookman Old Style" w:hAnsi="Bookman Old Style" w:cs="Arial"/>
          <w:b/>
          <w:sz w:val="24"/>
          <w:szCs w:val="24"/>
          <w:u w:val="single"/>
          <w:lang w:bidi="ml-IN"/>
        </w:rPr>
      </w:pPr>
    </w:p>
    <w:p w14:paraId="5570EA0A" w14:textId="2859FC67" w:rsidR="00DF0CC5" w:rsidRDefault="00C76DEA" w:rsidP="00A2471D">
      <w:pPr>
        <w:pStyle w:val="NoSpacing"/>
        <w:spacing w:after="120" w:line="360" w:lineRule="auto"/>
        <w:ind w:firstLine="720"/>
        <w:jc w:val="both"/>
        <w:rPr>
          <w:rFonts w:ascii="Bookman Old Style" w:hAnsi="Bookman Old Style"/>
          <w:sz w:val="24"/>
          <w:szCs w:val="24"/>
        </w:rPr>
      </w:pPr>
      <w:r w:rsidRPr="00C76DEA">
        <w:rPr>
          <w:rFonts w:ascii="Bookman Old Style" w:hAnsi="Bookman Old Style" w:cs="Bookman Old Style"/>
          <w:sz w:val="24"/>
          <w:szCs w:val="24"/>
        </w:rPr>
        <w:t>The Review Petitioner is the respondent in Appeal No. P-0</w:t>
      </w:r>
      <w:r>
        <w:rPr>
          <w:rFonts w:ascii="Bookman Old Style" w:hAnsi="Bookman Old Style" w:cs="Bookman Old Style"/>
          <w:sz w:val="24"/>
          <w:szCs w:val="24"/>
        </w:rPr>
        <w:t>59</w:t>
      </w:r>
      <w:r w:rsidRPr="00C76DEA">
        <w:rPr>
          <w:rFonts w:ascii="Bookman Old Style" w:hAnsi="Bookman Old Style" w:cs="Bookman Old Style"/>
          <w:sz w:val="24"/>
          <w:szCs w:val="24"/>
        </w:rPr>
        <w:t>/20</w:t>
      </w:r>
      <w:r>
        <w:rPr>
          <w:rFonts w:ascii="Bookman Old Style" w:hAnsi="Bookman Old Style" w:cs="Bookman Old Style"/>
          <w:sz w:val="24"/>
          <w:szCs w:val="24"/>
        </w:rPr>
        <w:t>2</w:t>
      </w:r>
      <w:r w:rsidRPr="00C76DEA">
        <w:rPr>
          <w:rFonts w:ascii="Bookman Old Style" w:hAnsi="Bookman Old Style" w:cs="Bookman Old Style"/>
          <w:sz w:val="24"/>
          <w:szCs w:val="24"/>
        </w:rPr>
        <w:t xml:space="preserve">1.  The Review Respondent/appellant is a consumer </w:t>
      </w:r>
      <w:r>
        <w:rPr>
          <w:rFonts w:ascii="Bookman Old Style" w:hAnsi="Bookman Old Style" w:cs="Bookman Old Style"/>
          <w:sz w:val="24"/>
          <w:szCs w:val="24"/>
        </w:rPr>
        <w:t>of</w:t>
      </w:r>
      <w:r w:rsidRPr="00C76DEA">
        <w:rPr>
          <w:rFonts w:ascii="Bookman Old Style" w:hAnsi="Bookman Old Style" w:cs="Bookman Old Style"/>
          <w:sz w:val="24"/>
          <w:szCs w:val="24"/>
        </w:rPr>
        <w:t xml:space="preserve"> Electrical Section, </w:t>
      </w:r>
      <w:r>
        <w:rPr>
          <w:rFonts w:ascii="Bookman Old Style" w:hAnsi="Bookman Old Style" w:cs="Bookman Old Style"/>
          <w:sz w:val="24"/>
          <w:szCs w:val="24"/>
        </w:rPr>
        <w:t xml:space="preserve">KSEB Ltd., </w:t>
      </w:r>
      <w:proofErr w:type="spellStart"/>
      <w:r>
        <w:rPr>
          <w:rFonts w:ascii="Bookman Old Style" w:hAnsi="Bookman Old Style" w:cs="Bookman Old Style"/>
          <w:sz w:val="24"/>
          <w:szCs w:val="24"/>
        </w:rPr>
        <w:t>Vengad</w:t>
      </w:r>
      <w:proofErr w:type="spellEnd"/>
      <w:r>
        <w:rPr>
          <w:rFonts w:ascii="Bookman Old Style" w:hAnsi="Bookman Old Style" w:cs="Bookman Old Style"/>
          <w:sz w:val="24"/>
          <w:szCs w:val="24"/>
        </w:rPr>
        <w:t xml:space="preserve"> with Consumer number 9426 with </w:t>
      </w:r>
      <w:r w:rsidR="00413EB8" w:rsidRPr="000D6CBF">
        <w:rPr>
          <w:rFonts w:ascii="Bookman Old Style" w:hAnsi="Bookman Old Style"/>
          <w:sz w:val="24"/>
          <w:szCs w:val="24"/>
        </w:rPr>
        <w:t xml:space="preserve">LT IVA </w:t>
      </w:r>
      <w:r w:rsidR="00F43353">
        <w:rPr>
          <w:rFonts w:ascii="Bookman Old Style" w:hAnsi="Bookman Old Style"/>
          <w:sz w:val="24"/>
          <w:szCs w:val="24"/>
        </w:rPr>
        <w:t xml:space="preserve">tariff and </w:t>
      </w:r>
      <w:r w:rsidR="00F43353" w:rsidRPr="000D6CBF">
        <w:rPr>
          <w:rFonts w:ascii="Bookman Old Style" w:hAnsi="Bookman Old Style"/>
          <w:sz w:val="24"/>
          <w:szCs w:val="24"/>
        </w:rPr>
        <w:t>running an industry by name “</w:t>
      </w:r>
      <w:proofErr w:type="spellStart"/>
      <w:r w:rsidR="00F43353">
        <w:rPr>
          <w:rFonts w:ascii="Bookman Old Style" w:hAnsi="Bookman Old Style"/>
          <w:sz w:val="24"/>
          <w:szCs w:val="24"/>
        </w:rPr>
        <w:t>Namazco</w:t>
      </w:r>
      <w:proofErr w:type="spellEnd"/>
      <w:r w:rsidR="00F43353">
        <w:rPr>
          <w:rFonts w:ascii="Bookman Old Style" w:hAnsi="Bookman Old Style"/>
          <w:sz w:val="24"/>
          <w:szCs w:val="24"/>
        </w:rPr>
        <w:t xml:space="preserve"> </w:t>
      </w:r>
      <w:r w:rsidR="00F43353" w:rsidRPr="000D6CBF">
        <w:rPr>
          <w:rFonts w:ascii="Bookman Old Style" w:hAnsi="Bookman Old Style"/>
          <w:sz w:val="24"/>
          <w:szCs w:val="24"/>
        </w:rPr>
        <w:t xml:space="preserve">Pet Industries” </w:t>
      </w:r>
      <w:r w:rsidR="00F43353">
        <w:rPr>
          <w:rFonts w:ascii="Bookman Old Style" w:hAnsi="Bookman Old Style"/>
          <w:sz w:val="24"/>
          <w:szCs w:val="24"/>
        </w:rPr>
        <w:t xml:space="preserve">at </w:t>
      </w:r>
      <w:proofErr w:type="spellStart"/>
      <w:r w:rsidR="00F43353">
        <w:rPr>
          <w:rFonts w:ascii="Bookman Old Style" w:hAnsi="Bookman Old Style"/>
          <w:sz w:val="24"/>
          <w:szCs w:val="24"/>
        </w:rPr>
        <w:t>P</w:t>
      </w:r>
      <w:r w:rsidR="00A160E7">
        <w:rPr>
          <w:rFonts w:ascii="Bookman Old Style" w:hAnsi="Bookman Old Style"/>
          <w:sz w:val="24"/>
          <w:szCs w:val="24"/>
        </w:rPr>
        <w:t>a</w:t>
      </w:r>
      <w:r w:rsidR="00F43353">
        <w:rPr>
          <w:rFonts w:ascii="Bookman Old Style" w:hAnsi="Bookman Old Style"/>
          <w:sz w:val="24"/>
          <w:szCs w:val="24"/>
        </w:rPr>
        <w:t>chapoika</w:t>
      </w:r>
      <w:proofErr w:type="spellEnd"/>
      <w:r w:rsidR="00F43353">
        <w:rPr>
          <w:rFonts w:ascii="Bookman Old Style" w:hAnsi="Bookman Old Style"/>
          <w:sz w:val="24"/>
          <w:szCs w:val="24"/>
        </w:rPr>
        <w:t xml:space="preserve">, </w:t>
      </w:r>
      <w:proofErr w:type="spellStart"/>
      <w:r w:rsidR="00F43353">
        <w:rPr>
          <w:rFonts w:ascii="Bookman Old Style" w:hAnsi="Bookman Old Style"/>
          <w:sz w:val="24"/>
          <w:szCs w:val="24"/>
        </w:rPr>
        <w:t>Koothuparamb</w:t>
      </w:r>
      <w:r w:rsidR="00A160E7">
        <w:rPr>
          <w:rFonts w:ascii="Bookman Old Style" w:hAnsi="Bookman Old Style"/>
          <w:sz w:val="24"/>
          <w:szCs w:val="24"/>
        </w:rPr>
        <w:t>a</w:t>
      </w:r>
      <w:proofErr w:type="spellEnd"/>
      <w:r w:rsidR="00F43353">
        <w:rPr>
          <w:rFonts w:ascii="Bookman Old Style" w:hAnsi="Bookman Old Style"/>
          <w:sz w:val="24"/>
          <w:szCs w:val="24"/>
        </w:rPr>
        <w:t xml:space="preserve">.  The </w:t>
      </w:r>
      <w:r w:rsidR="00B71937" w:rsidRPr="000D6CBF">
        <w:rPr>
          <w:rFonts w:ascii="Bookman Old Style" w:hAnsi="Bookman Old Style"/>
          <w:sz w:val="24"/>
          <w:szCs w:val="24"/>
        </w:rPr>
        <w:t xml:space="preserve">connected load </w:t>
      </w:r>
      <w:r w:rsidR="00F43353">
        <w:rPr>
          <w:rFonts w:ascii="Bookman Old Style" w:hAnsi="Bookman Old Style"/>
          <w:sz w:val="24"/>
          <w:szCs w:val="24"/>
        </w:rPr>
        <w:t xml:space="preserve">in the premises is </w:t>
      </w:r>
      <w:r w:rsidR="00413EB8">
        <w:rPr>
          <w:rFonts w:ascii="Bookman Old Style" w:hAnsi="Bookman Old Style"/>
          <w:sz w:val="24"/>
          <w:szCs w:val="24"/>
        </w:rPr>
        <w:t>11</w:t>
      </w:r>
      <w:r w:rsidR="00F43353">
        <w:rPr>
          <w:rFonts w:ascii="Bookman Old Style" w:hAnsi="Bookman Old Style"/>
          <w:sz w:val="24"/>
          <w:szCs w:val="24"/>
        </w:rPr>
        <w:t>5 Kilo</w:t>
      </w:r>
      <w:r w:rsidR="00413EB8">
        <w:rPr>
          <w:rFonts w:ascii="Bookman Old Style" w:hAnsi="Bookman Old Style"/>
          <w:sz w:val="24"/>
          <w:szCs w:val="24"/>
        </w:rPr>
        <w:t>watts</w:t>
      </w:r>
      <w:r w:rsidR="00B71937" w:rsidRPr="000D6CBF">
        <w:rPr>
          <w:rFonts w:ascii="Bookman Old Style" w:hAnsi="Bookman Old Style"/>
          <w:sz w:val="24"/>
          <w:szCs w:val="24"/>
        </w:rPr>
        <w:t xml:space="preserve"> and Contract Demand is </w:t>
      </w:r>
      <w:r w:rsidR="00413EB8">
        <w:rPr>
          <w:rFonts w:ascii="Bookman Old Style" w:hAnsi="Bookman Old Style"/>
          <w:sz w:val="24"/>
          <w:szCs w:val="24"/>
        </w:rPr>
        <w:t xml:space="preserve">85 </w:t>
      </w:r>
      <w:r w:rsidR="00F43353">
        <w:rPr>
          <w:rFonts w:ascii="Bookman Old Style" w:hAnsi="Bookman Old Style"/>
          <w:sz w:val="24"/>
          <w:szCs w:val="24"/>
        </w:rPr>
        <w:t>k</w:t>
      </w:r>
      <w:r w:rsidR="00B71937" w:rsidRPr="000D6CBF">
        <w:rPr>
          <w:rFonts w:ascii="Bookman Old Style" w:hAnsi="Bookman Old Style"/>
          <w:sz w:val="24"/>
          <w:szCs w:val="24"/>
        </w:rPr>
        <w:t xml:space="preserve">VA.  The appellant remitted </w:t>
      </w:r>
      <w:r w:rsidR="00A160E7">
        <w:rPr>
          <w:rFonts w:ascii="Bookman Old Style" w:hAnsi="Bookman Old Style"/>
          <w:sz w:val="24"/>
          <w:szCs w:val="24"/>
        </w:rPr>
        <w:t>power factor disincentive under the head</w:t>
      </w:r>
      <w:r w:rsidR="00A92E23">
        <w:rPr>
          <w:rFonts w:ascii="Bookman Old Style" w:hAnsi="Bookman Old Style" w:cs="Bookman Old Style"/>
          <w:sz w:val="24"/>
          <w:szCs w:val="24"/>
        </w:rPr>
        <w:t xml:space="preserve"> </w:t>
      </w:r>
      <w:r w:rsidR="00493C09">
        <w:rPr>
          <w:rFonts w:ascii="Bookman Old Style" w:hAnsi="Bookman Old Style" w:cs="Times New Roman"/>
          <w:color w:val="000000"/>
          <w:sz w:val="24"/>
          <w:szCs w:val="24"/>
        </w:rPr>
        <w:t xml:space="preserve">“Other charges” </w:t>
      </w:r>
      <w:r w:rsidR="00F43353">
        <w:rPr>
          <w:rFonts w:ascii="Bookman Old Style" w:hAnsi="Bookman Old Style" w:cs="Times New Roman"/>
          <w:color w:val="000000"/>
          <w:sz w:val="24"/>
          <w:szCs w:val="24"/>
        </w:rPr>
        <w:t xml:space="preserve">specified in the regular monthly bills from </w:t>
      </w:r>
      <w:r w:rsidR="00640666">
        <w:rPr>
          <w:rFonts w:ascii="Bookman Old Style" w:hAnsi="Bookman Old Style" w:cs="Times New Roman"/>
          <w:color w:val="000000"/>
          <w:sz w:val="24"/>
          <w:szCs w:val="24"/>
        </w:rPr>
        <w:t xml:space="preserve">01-11-2018 to 01-11-2020.  </w:t>
      </w:r>
      <w:r w:rsidR="00F43353">
        <w:rPr>
          <w:rFonts w:ascii="Bookman Old Style" w:hAnsi="Bookman Old Style" w:cs="Times New Roman"/>
          <w:color w:val="000000"/>
          <w:sz w:val="24"/>
          <w:szCs w:val="24"/>
        </w:rPr>
        <w:t xml:space="preserve">As per respondent, “Other Charges” mentioned in bills are low power factor penalty.  The appellant approached the Licensee for the refund of Other Charges and since </w:t>
      </w:r>
      <w:r w:rsidR="00A17AD8" w:rsidRPr="000D6CBF">
        <w:rPr>
          <w:rFonts w:ascii="Bookman Old Style" w:hAnsi="Bookman Old Style"/>
          <w:sz w:val="24"/>
          <w:szCs w:val="24"/>
        </w:rPr>
        <w:t>no action was taken by the</w:t>
      </w:r>
      <w:r w:rsidR="00F43353">
        <w:rPr>
          <w:rFonts w:ascii="Bookman Old Style" w:hAnsi="Bookman Old Style"/>
          <w:sz w:val="24"/>
          <w:szCs w:val="24"/>
        </w:rPr>
        <w:t>m,</w:t>
      </w:r>
      <w:r w:rsidR="00A17AD8" w:rsidRPr="000D6CBF">
        <w:rPr>
          <w:rFonts w:ascii="Bookman Old Style" w:hAnsi="Bookman Old Style"/>
          <w:sz w:val="24"/>
          <w:szCs w:val="24"/>
        </w:rPr>
        <w:t xml:space="preserve"> the appellant</w:t>
      </w:r>
      <w:r w:rsidR="00173A67" w:rsidRPr="000D6CBF">
        <w:rPr>
          <w:rFonts w:ascii="Bookman Old Style" w:hAnsi="Bookman Old Style"/>
          <w:sz w:val="24"/>
          <w:szCs w:val="24"/>
        </w:rPr>
        <w:t xml:space="preserve"> filed </w:t>
      </w:r>
      <w:r w:rsidR="00F463D2" w:rsidRPr="000D6CBF">
        <w:rPr>
          <w:rFonts w:ascii="Bookman Old Style" w:hAnsi="Bookman Old Style"/>
          <w:sz w:val="24"/>
          <w:szCs w:val="24"/>
        </w:rPr>
        <w:t xml:space="preserve">petition </w:t>
      </w:r>
      <w:r w:rsidR="00A17AD8" w:rsidRPr="000D6CBF">
        <w:rPr>
          <w:rFonts w:ascii="Bookman Old Style" w:hAnsi="Bookman Old Style"/>
          <w:sz w:val="24"/>
          <w:szCs w:val="24"/>
        </w:rPr>
        <w:t>in</w:t>
      </w:r>
      <w:r w:rsidR="00F463D2" w:rsidRPr="000D6CBF">
        <w:rPr>
          <w:rFonts w:ascii="Bookman Old Style" w:hAnsi="Bookman Old Style"/>
          <w:sz w:val="24"/>
          <w:szCs w:val="24"/>
        </w:rPr>
        <w:t xml:space="preserve"> </w:t>
      </w:r>
      <w:r w:rsidR="003777C6" w:rsidRPr="000D6CBF">
        <w:rPr>
          <w:rFonts w:ascii="Bookman Old Style" w:hAnsi="Bookman Old Style"/>
          <w:sz w:val="24"/>
          <w:szCs w:val="24"/>
        </w:rPr>
        <w:t>Consumer Grievance Redressal Forum</w:t>
      </w:r>
      <w:r w:rsidR="00F463D2" w:rsidRPr="000D6CBF">
        <w:rPr>
          <w:rFonts w:ascii="Bookman Old Style" w:hAnsi="Bookman Old Style"/>
          <w:sz w:val="24"/>
          <w:szCs w:val="24"/>
        </w:rPr>
        <w:t xml:space="preserve"> (CGRF)</w:t>
      </w:r>
      <w:r w:rsidR="003777C6" w:rsidRPr="000D6CBF">
        <w:rPr>
          <w:rFonts w:ascii="Bookman Old Style" w:hAnsi="Bookman Old Style"/>
          <w:sz w:val="24"/>
          <w:szCs w:val="24"/>
        </w:rPr>
        <w:t>, Northern Region, Kozhikode</w:t>
      </w:r>
      <w:r w:rsidR="00A17AD8" w:rsidRPr="000D6CBF">
        <w:rPr>
          <w:rFonts w:ascii="Bookman Old Style" w:hAnsi="Bookman Old Style"/>
          <w:sz w:val="24"/>
          <w:szCs w:val="24"/>
        </w:rPr>
        <w:t xml:space="preserve"> </w:t>
      </w:r>
      <w:r w:rsidR="009E448E" w:rsidRPr="000D6CBF">
        <w:rPr>
          <w:rFonts w:ascii="Bookman Old Style" w:hAnsi="Bookman Old Style"/>
          <w:sz w:val="24"/>
          <w:szCs w:val="24"/>
        </w:rPr>
        <w:t>vide OP No.</w:t>
      </w:r>
      <w:r w:rsidR="003777C6" w:rsidRPr="000D6CBF">
        <w:rPr>
          <w:rFonts w:ascii="Bookman Old Style" w:hAnsi="Bookman Old Style"/>
          <w:sz w:val="24"/>
          <w:szCs w:val="24"/>
        </w:rPr>
        <w:t xml:space="preserve"> </w:t>
      </w:r>
      <w:r w:rsidR="00A17AD8" w:rsidRPr="000D6CBF">
        <w:rPr>
          <w:rFonts w:ascii="Bookman Old Style" w:hAnsi="Bookman Old Style"/>
          <w:sz w:val="24"/>
          <w:szCs w:val="24"/>
        </w:rPr>
        <w:t>1</w:t>
      </w:r>
      <w:r w:rsidR="00493C09">
        <w:rPr>
          <w:rFonts w:ascii="Bookman Old Style" w:hAnsi="Bookman Old Style"/>
          <w:sz w:val="24"/>
          <w:szCs w:val="24"/>
        </w:rPr>
        <w:t>49</w:t>
      </w:r>
      <w:r w:rsidR="003777C6" w:rsidRPr="000D6CBF">
        <w:rPr>
          <w:rFonts w:ascii="Bookman Old Style" w:hAnsi="Bookman Old Style"/>
          <w:sz w:val="24"/>
          <w:szCs w:val="24"/>
        </w:rPr>
        <w:t>/2020-21</w:t>
      </w:r>
      <w:r w:rsidR="00B73ACF" w:rsidRPr="000D6CBF">
        <w:rPr>
          <w:rFonts w:ascii="Bookman Old Style" w:hAnsi="Bookman Old Style"/>
          <w:sz w:val="24"/>
          <w:szCs w:val="24"/>
        </w:rPr>
        <w:t xml:space="preserve"> and</w:t>
      </w:r>
      <w:r w:rsidR="000A74D1" w:rsidRPr="000D6CBF">
        <w:rPr>
          <w:rFonts w:ascii="Bookman Old Style" w:hAnsi="Bookman Old Style"/>
          <w:sz w:val="24"/>
          <w:szCs w:val="24"/>
        </w:rPr>
        <w:t xml:space="preserve"> </w:t>
      </w:r>
      <w:r w:rsidR="00A17AD8" w:rsidRPr="000D6CBF">
        <w:rPr>
          <w:rFonts w:ascii="Bookman Old Style" w:hAnsi="Bookman Old Style"/>
          <w:sz w:val="24"/>
          <w:szCs w:val="24"/>
        </w:rPr>
        <w:t xml:space="preserve">the Forum in its </w:t>
      </w:r>
      <w:r w:rsidR="00B73ACF" w:rsidRPr="000D6CBF">
        <w:rPr>
          <w:rFonts w:ascii="Bookman Old Style" w:hAnsi="Bookman Old Style"/>
          <w:sz w:val="24"/>
          <w:szCs w:val="24"/>
        </w:rPr>
        <w:t xml:space="preserve">order dated </w:t>
      </w:r>
      <w:r w:rsidR="00493C09">
        <w:rPr>
          <w:rFonts w:ascii="Bookman Old Style" w:hAnsi="Bookman Old Style"/>
          <w:sz w:val="24"/>
          <w:szCs w:val="24"/>
        </w:rPr>
        <w:t>25</w:t>
      </w:r>
      <w:r w:rsidR="00A17AD8" w:rsidRPr="000D6CBF">
        <w:rPr>
          <w:rFonts w:ascii="Bookman Old Style" w:hAnsi="Bookman Old Style"/>
          <w:sz w:val="24"/>
          <w:szCs w:val="24"/>
        </w:rPr>
        <w:t>-0</w:t>
      </w:r>
      <w:r w:rsidR="00493C09">
        <w:rPr>
          <w:rFonts w:ascii="Bookman Old Style" w:hAnsi="Bookman Old Style"/>
          <w:sz w:val="24"/>
          <w:szCs w:val="24"/>
        </w:rPr>
        <w:t>8</w:t>
      </w:r>
      <w:r w:rsidR="00B73ACF" w:rsidRPr="000D6CBF">
        <w:rPr>
          <w:rFonts w:ascii="Bookman Old Style" w:hAnsi="Bookman Old Style"/>
          <w:sz w:val="24"/>
          <w:szCs w:val="24"/>
        </w:rPr>
        <w:t>-2021</w:t>
      </w:r>
      <w:r w:rsidR="00A17AD8" w:rsidRPr="000D6CBF">
        <w:rPr>
          <w:rFonts w:ascii="Bookman Old Style" w:hAnsi="Bookman Old Style"/>
          <w:sz w:val="24"/>
          <w:szCs w:val="24"/>
        </w:rPr>
        <w:t xml:space="preserve"> rejected the request of the appellant</w:t>
      </w:r>
      <w:r w:rsidR="00B73ACF" w:rsidRPr="000D6CBF">
        <w:rPr>
          <w:rFonts w:ascii="Bookman Old Style" w:hAnsi="Bookman Old Style"/>
          <w:sz w:val="24"/>
          <w:szCs w:val="24"/>
        </w:rPr>
        <w:t xml:space="preserve">.  </w:t>
      </w:r>
    </w:p>
    <w:p w14:paraId="5B0E0C80" w14:textId="4CBBA334" w:rsidR="009C6E15" w:rsidRDefault="00A17AD8" w:rsidP="00A2471D">
      <w:pPr>
        <w:pStyle w:val="NoSpacing"/>
        <w:spacing w:after="120" w:line="360" w:lineRule="auto"/>
        <w:ind w:firstLine="720"/>
        <w:jc w:val="both"/>
        <w:rPr>
          <w:rFonts w:ascii="Bookman Old Style" w:hAnsi="Bookman Old Style"/>
          <w:sz w:val="24"/>
          <w:szCs w:val="24"/>
        </w:rPr>
      </w:pPr>
      <w:r w:rsidRPr="000D6CBF">
        <w:rPr>
          <w:rFonts w:ascii="Bookman Old Style" w:hAnsi="Bookman Old Style"/>
          <w:sz w:val="24"/>
          <w:szCs w:val="24"/>
        </w:rPr>
        <w:lastRenderedPageBreak/>
        <w:t>Not satisfied with</w:t>
      </w:r>
      <w:r w:rsidR="00B73ACF" w:rsidRPr="000D6CBF">
        <w:rPr>
          <w:rFonts w:ascii="Bookman Old Style" w:hAnsi="Bookman Old Style"/>
          <w:sz w:val="24"/>
          <w:szCs w:val="24"/>
        </w:rPr>
        <w:t xml:space="preserve"> the decision of the Forum, the appellant filed </w:t>
      </w:r>
      <w:r w:rsidR="00F43353">
        <w:rPr>
          <w:rFonts w:ascii="Bookman Old Style" w:hAnsi="Bookman Old Style"/>
          <w:sz w:val="24"/>
          <w:szCs w:val="24"/>
        </w:rPr>
        <w:t xml:space="preserve">an appeal petition </w:t>
      </w:r>
      <w:r w:rsidR="009C6E15">
        <w:rPr>
          <w:rFonts w:ascii="Bookman Old Style" w:hAnsi="Bookman Old Style"/>
          <w:sz w:val="24"/>
          <w:szCs w:val="24"/>
        </w:rPr>
        <w:t>vide P-059/2021 before this Authority and a decision was taken as follows:</w:t>
      </w:r>
    </w:p>
    <w:p w14:paraId="0A7C9BC9" w14:textId="1F34D3C3" w:rsidR="00317B2C" w:rsidRDefault="00317B2C" w:rsidP="00317B2C">
      <w:pPr>
        <w:widowControl w:val="0"/>
        <w:autoSpaceDE w:val="0"/>
        <w:autoSpaceDN w:val="0"/>
        <w:adjustRightInd w:val="0"/>
        <w:spacing w:after="120" w:line="360" w:lineRule="auto"/>
        <w:ind w:firstLine="720"/>
        <w:jc w:val="both"/>
        <w:rPr>
          <w:rFonts w:ascii="Bookman Old Style" w:hAnsi="Bookman Old Style" w:cs="Bookman Old Style"/>
          <w:sz w:val="24"/>
          <w:szCs w:val="24"/>
          <w:lang w:val="en"/>
        </w:rPr>
      </w:pPr>
      <w:r>
        <w:rPr>
          <w:rFonts w:ascii="Bookman Old Style" w:hAnsi="Bookman Old Style" w:cs="Bookman Old Style"/>
          <w:sz w:val="24"/>
          <w:szCs w:val="24"/>
          <w:lang w:val="en"/>
        </w:rPr>
        <w:t xml:space="preserve">“There are lapses on the part of appellant in maintaining the rated values of capacitors to avoid power factor disincentives and lapses on the part of respondent to intimate the subject of low power factor to the appellant as per rules.  As such, </w:t>
      </w:r>
      <w:r w:rsidRPr="00795084">
        <w:rPr>
          <w:rFonts w:ascii="Bookman Old Style" w:hAnsi="Bookman Old Style"/>
          <w:sz w:val="24"/>
          <w:szCs w:val="24"/>
          <w:lang w:val="en-IN" w:bidi="ml-IN"/>
        </w:rPr>
        <w:t>it is decided to refund the power factor penalty realized from the appellant for 12 months</w:t>
      </w:r>
      <w:r>
        <w:rPr>
          <w:rFonts w:ascii="Bookman Old Style" w:hAnsi="Bookman Old Style"/>
          <w:sz w:val="24"/>
          <w:szCs w:val="24"/>
          <w:lang w:val="en-IN" w:bidi="ml-IN"/>
        </w:rPr>
        <w:t xml:space="preserve"> from 11/2019 to 10/2020</w:t>
      </w:r>
      <w:r w:rsidRPr="00795084">
        <w:rPr>
          <w:rFonts w:ascii="Bookman Old Style" w:hAnsi="Bookman Old Style"/>
          <w:sz w:val="24"/>
          <w:szCs w:val="24"/>
          <w:lang w:val="en-IN" w:bidi="ml-IN"/>
        </w:rPr>
        <w:t>, by limiting the period of refund requested by the</w:t>
      </w:r>
      <w:r>
        <w:rPr>
          <w:rFonts w:ascii="Bookman Old Style" w:hAnsi="Bookman Old Style"/>
          <w:sz w:val="24"/>
          <w:szCs w:val="24"/>
          <w:lang w:val="en-IN" w:bidi="ml-IN"/>
        </w:rPr>
        <w:t xml:space="preserve"> appellant</w:t>
      </w:r>
      <w:r>
        <w:rPr>
          <w:rFonts w:ascii="Bookman Old Style" w:hAnsi="Bookman Old Style" w:cs="Bookman Old Style"/>
          <w:sz w:val="24"/>
          <w:szCs w:val="24"/>
          <w:lang w:val="en"/>
        </w:rPr>
        <w:t xml:space="preserve">  The respondent shall refund the amount realized under “other charges” or “power factor penalty” from the appellant from 11/2019 to 10/2020 within 45 days from the date of order or adjust in the future bills.” </w:t>
      </w:r>
    </w:p>
    <w:p w14:paraId="48AC993C" w14:textId="5AF5587B" w:rsidR="00A160E7" w:rsidRDefault="00A160E7" w:rsidP="00317B2C">
      <w:pPr>
        <w:widowControl w:val="0"/>
        <w:autoSpaceDE w:val="0"/>
        <w:autoSpaceDN w:val="0"/>
        <w:adjustRightInd w:val="0"/>
        <w:spacing w:after="120" w:line="360" w:lineRule="auto"/>
        <w:ind w:firstLine="720"/>
        <w:jc w:val="both"/>
        <w:rPr>
          <w:rFonts w:ascii="Bookman Old Style" w:hAnsi="Bookman Old Style" w:cs="Bookman Old Style"/>
          <w:sz w:val="24"/>
          <w:szCs w:val="24"/>
          <w:lang w:val="en"/>
        </w:rPr>
      </w:pPr>
      <w:r>
        <w:rPr>
          <w:rFonts w:ascii="Bookman Old Style" w:hAnsi="Bookman Old Style" w:cs="Bookman Old Style"/>
          <w:sz w:val="24"/>
          <w:szCs w:val="24"/>
          <w:lang w:val="en"/>
        </w:rPr>
        <w:t>Still not satisfied, the review petitioner filed this Review Petition.</w:t>
      </w:r>
    </w:p>
    <w:p w14:paraId="14E664D5" w14:textId="756038A1" w:rsidR="00A2471D" w:rsidRDefault="00A2471D" w:rsidP="00317B2C">
      <w:pPr>
        <w:widowControl w:val="0"/>
        <w:autoSpaceDE w:val="0"/>
        <w:autoSpaceDN w:val="0"/>
        <w:adjustRightInd w:val="0"/>
        <w:spacing w:after="120" w:line="360" w:lineRule="auto"/>
        <w:ind w:firstLine="720"/>
        <w:jc w:val="both"/>
        <w:rPr>
          <w:rFonts w:ascii="Bookman Old Style" w:hAnsi="Bookman Old Style" w:cs="Bookman Old Style"/>
          <w:sz w:val="24"/>
          <w:szCs w:val="24"/>
          <w:lang w:val="en"/>
        </w:rPr>
      </w:pPr>
      <w:r>
        <w:rPr>
          <w:rFonts w:ascii="Bookman Old Style" w:hAnsi="Bookman Old Style" w:cs="Bookman Old Style"/>
          <w:sz w:val="24"/>
          <w:szCs w:val="24"/>
          <w:lang w:val="en"/>
        </w:rPr>
        <w:t>The arguments raised by the Review Petitioner is as follow:</w:t>
      </w:r>
    </w:p>
    <w:p w14:paraId="3450581B" w14:textId="695B67A3" w:rsidR="00A2471D" w:rsidRPr="007E5601" w:rsidRDefault="00A2471D" w:rsidP="00A160E7">
      <w:pPr>
        <w:tabs>
          <w:tab w:val="left" w:pos="0"/>
        </w:tabs>
        <w:spacing w:before="21" w:after="120" w:line="360" w:lineRule="auto"/>
        <w:jc w:val="both"/>
        <w:rPr>
          <w:rFonts w:ascii="Bookman Old Style" w:hAnsi="Bookman Old Style"/>
        </w:rPr>
      </w:pPr>
      <w:r>
        <w:rPr>
          <w:rFonts w:ascii="Bookman Old Style" w:hAnsi="Bookman Old Style" w:cs="Times New Roman"/>
          <w:color w:val="000000"/>
          <w:sz w:val="24"/>
          <w:szCs w:val="24"/>
        </w:rPr>
        <w:tab/>
      </w:r>
      <w:r w:rsidRPr="007E5601">
        <w:rPr>
          <w:rFonts w:ascii="Bookman Old Style" w:hAnsi="Bookman Old Style" w:cs="Times New Roman"/>
          <w:color w:val="000000"/>
          <w:sz w:val="24"/>
          <w:szCs w:val="24"/>
        </w:rPr>
        <w:t xml:space="preserve">The </w:t>
      </w:r>
      <w:r w:rsidR="00AE7ED1">
        <w:rPr>
          <w:rFonts w:ascii="Bookman Old Style" w:hAnsi="Bookman Old Style" w:cs="Times New Roman"/>
          <w:color w:val="000000"/>
          <w:sz w:val="24"/>
          <w:szCs w:val="24"/>
        </w:rPr>
        <w:t xml:space="preserve">review respondent/appellant </w:t>
      </w:r>
      <w:r w:rsidRPr="007E5601">
        <w:rPr>
          <w:rFonts w:ascii="Bookman Old Style" w:hAnsi="Bookman Old Style" w:cs="Times New Roman"/>
          <w:color w:val="000000"/>
          <w:sz w:val="24"/>
          <w:szCs w:val="24"/>
        </w:rPr>
        <w:t>is billed under LT IV industry</w:t>
      </w:r>
      <w:r w:rsidR="00C14A5C">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category.</w:t>
      </w:r>
      <w:r w:rsidR="00C14A5C">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As</w:t>
      </w:r>
      <w:r w:rsidR="00C14A5C">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the connected load is above 20</w:t>
      </w:r>
      <w:r w:rsidR="00AE7ED1">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kW</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 xml:space="preserve">(115kW), the </w:t>
      </w:r>
      <w:r w:rsidR="00AE7ED1">
        <w:rPr>
          <w:rFonts w:ascii="Bookman Old Style" w:hAnsi="Bookman Old Style" w:cs="Times New Roman"/>
          <w:color w:val="000000"/>
          <w:sz w:val="24"/>
          <w:szCs w:val="24"/>
        </w:rPr>
        <w:t>review respondent</w:t>
      </w:r>
      <w:r w:rsidRPr="007E5601">
        <w:rPr>
          <w:rFonts w:ascii="Bookman Old Style" w:hAnsi="Bookman Old Style" w:cs="Times New Roman"/>
          <w:color w:val="000000"/>
          <w:sz w:val="24"/>
          <w:szCs w:val="24"/>
        </w:rPr>
        <w:t xml:space="preserve"> is being billed under demand-based tariff with a demand charge of </w:t>
      </w:r>
      <w:r w:rsidR="00A160E7">
        <w:rPr>
          <w:rFonts w:ascii="Bookman Old Style" w:hAnsi="Bookman Old Style" w:cs="Times New Roman"/>
          <w:color w:val="000000"/>
          <w:sz w:val="24"/>
          <w:szCs w:val="24"/>
        </w:rPr>
        <w:t>Rs.</w:t>
      </w:r>
      <w:r w:rsidRPr="007E5601">
        <w:rPr>
          <w:rFonts w:ascii="Bookman Old Style" w:hAnsi="Bookman Old Style" w:cs="Times New Roman"/>
          <w:color w:val="000000"/>
          <w:sz w:val="24"/>
          <w:szCs w:val="24"/>
        </w:rPr>
        <w:t xml:space="preserve">170/kVA or a part there of </w:t>
      </w:r>
      <w:r w:rsidR="00A160E7">
        <w:rPr>
          <w:rFonts w:ascii="Bookman Old Style" w:hAnsi="Bookman Old Style" w:cs="Times New Roman"/>
          <w:color w:val="000000"/>
          <w:sz w:val="24"/>
          <w:szCs w:val="24"/>
        </w:rPr>
        <w:t xml:space="preserve">per </w:t>
      </w:r>
      <w:r w:rsidRPr="007E5601">
        <w:rPr>
          <w:rFonts w:ascii="Bookman Old Style" w:hAnsi="Bookman Old Style" w:cs="Times New Roman"/>
          <w:color w:val="000000"/>
          <w:sz w:val="24"/>
          <w:szCs w:val="24"/>
        </w:rPr>
        <w:t>month</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and</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energy</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charge</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of</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Rs.5.75/unit.</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This</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is</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the only consumer group under</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low</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tension</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category</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which</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is</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being</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 xml:space="preserve">billed under </w:t>
      </w:r>
      <w:proofErr w:type="spellStart"/>
      <w:r w:rsidRPr="007E5601">
        <w:rPr>
          <w:rFonts w:ascii="Bookman Old Style" w:hAnsi="Bookman Old Style" w:cs="Times New Roman"/>
          <w:color w:val="000000"/>
          <w:sz w:val="24"/>
          <w:szCs w:val="24"/>
        </w:rPr>
        <w:t>ToD</w:t>
      </w:r>
      <w:proofErr w:type="spellEnd"/>
      <w:r w:rsidRPr="007E5601">
        <w:rPr>
          <w:rFonts w:ascii="Bookman Old Style" w:hAnsi="Bookman Old Style" w:cs="Times New Roman"/>
          <w:color w:val="000000"/>
          <w:sz w:val="24"/>
          <w:szCs w:val="24"/>
        </w:rPr>
        <w:t xml:space="preserve"> tariff.  The billing procedure</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of</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this</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category</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is</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entirely different from all other LT consumers categorized</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in</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the</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tariff</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schedule being notified by the Hon'ble Commission (KSERC)</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from</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time</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to</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time.</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As such this group of consumers is being considered at par</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with</w:t>
      </w:r>
      <w:r w:rsidR="00A160E7">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 xml:space="preserve">HT/EHT consumers in the tariff Schedule for all billing activities. </w:t>
      </w:r>
      <w:proofErr w:type="spellStart"/>
      <w:r w:rsidRPr="007E5601">
        <w:rPr>
          <w:rFonts w:ascii="Bookman Old Style" w:hAnsi="Bookman Old Style" w:cs="Times New Roman"/>
          <w:color w:val="000000"/>
          <w:sz w:val="24"/>
          <w:szCs w:val="24"/>
        </w:rPr>
        <w:t>ToD</w:t>
      </w:r>
      <w:proofErr w:type="spellEnd"/>
      <w:r w:rsidRPr="007E5601">
        <w:rPr>
          <w:rFonts w:ascii="Bookman Old Style" w:hAnsi="Bookman Old Style" w:cs="Times New Roman"/>
          <w:color w:val="000000"/>
          <w:sz w:val="24"/>
          <w:szCs w:val="24"/>
        </w:rPr>
        <w:t xml:space="preserve"> tariff </w:t>
      </w:r>
      <w:r w:rsidRPr="007E5601">
        <w:rPr>
          <w:rFonts w:ascii="Bookman Old Style" w:hAnsi="Bookman Old Style"/>
        </w:rPr>
        <w:br/>
      </w:r>
      <w:r w:rsidRPr="007E5601">
        <w:rPr>
          <w:rFonts w:ascii="Bookman Old Style" w:hAnsi="Bookman Old Style" w:cs="Times New Roman"/>
          <w:color w:val="000000"/>
          <w:sz w:val="24"/>
          <w:szCs w:val="24"/>
        </w:rPr>
        <w:t xml:space="preserve">applicable, Power factor incentive/dis-incentive and </w:t>
      </w:r>
      <w:r w:rsidR="00AE7ED1">
        <w:rPr>
          <w:rFonts w:ascii="Bookman Old Style" w:hAnsi="Bookman Old Style" w:cs="Times New Roman"/>
          <w:color w:val="000000"/>
          <w:sz w:val="24"/>
          <w:szCs w:val="24"/>
        </w:rPr>
        <w:t>b</w:t>
      </w:r>
      <w:r w:rsidRPr="007E5601">
        <w:rPr>
          <w:rFonts w:ascii="Bookman Old Style" w:hAnsi="Bookman Old Style" w:cs="Times New Roman"/>
          <w:color w:val="000000"/>
          <w:sz w:val="24"/>
          <w:szCs w:val="24"/>
        </w:rPr>
        <w:t xml:space="preserve">illing procedure </w:t>
      </w:r>
      <w:r w:rsidRPr="007E5601">
        <w:rPr>
          <w:rFonts w:ascii="Bookman Old Style" w:hAnsi="Bookman Old Style"/>
        </w:rPr>
        <w:br/>
      </w:r>
      <w:r w:rsidRPr="007E5601">
        <w:rPr>
          <w:rFonts w:ascii="Bookman Old Style" w:hAnsi="Bookman Old Style" w:cs="Times New Roman"/>
          <w:color w:val="000000"/>
          <w:sz w:val="24"/>
          <w:szCs w:val="24"/>
        </w:rPr>
        <w:t>applicable for LT IV industrial consumers with a connected load of and</w:t>
      </w:r>
      <w:r>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above 20kW, HT/EHT consumers are the same and are specified in annexure-A,  Annexure-B  and  in  Annexure-E  respectively.  As  such general conditions applicable for LT Consumers is not applicable to LT IV industrial consumers with a connected load of and above 20kW as far as billing activities are concerned.</w:t>
      </w:r>
    </w:p>
    <w:p w14:paraId="0950CF44" w14:textId="3872CFD5" w:rsidR="00A2471D" w:rsidRPr="007E5601" w:rsidRDefault="00C14A5C" w:rsidP="00C14A5C">
      <w:pPr>
        <w:spacing w:after="0" w:line="360" w:lineRule="auto"/>
        <w:ind w:right="38"/>
        <w:jc w:val="both"/>
        <w:rPr>
          <w:rFonts w:ascii="Bookman Old Style" w:hAnsi="Bookman Old Style"/>
        </w:rPr>
      </w:pPr>
      <w:r>
        <w:rPr>
          <w:rFonts w:ascii="Bookman Old Style" w:hAnsi="Bookman Old Style" w:cs="Times New Roman"/>
          <w:color w:val="000000"/>
          <w:sz w:val="24"/>
          <w:szCs w:val="24"/>
        </w:rPr>
        <w:tab/>
      </w:r>
      <w:r w:rsidR="00A2471D" w:rsidRPr="007E5601">
        <w:rPr>
          <w:rFonts w:ascii="Bookman Old Style" w:hAnsi="Bookman Old Style" w:cs="Times New Roman"/>
          <w:color w:val="000000"/>
          <w:sz w:val="24"/>
          <w:szCs w:val="24"/>
        </w:rPr>
        <w:t>The power factor incentive/dis-incentives applicable to the consumer is being levied as per Annexure-B of the 'Tariff Schedule' at par with HT-EHT consumers and the same is extracted below.</w:t>
      </w:r>
    </w:p>
    <w:p w14:paraId="7C2C13CE" w14:textId="77777777" w:rsidR="00A2471D" w:rsidRPr="007E5601" w:rsidRDefault="00A2471D" w:rsidP="00A2471D">
      <w:pPr>
        <w:spacing w:after="0" w:line="230" w:lineRule="exact"/>
        <w:ind w:right="38"/>
        <w:jc w:val="both"/>
        <w:rPr>
          <w:rFonts w:ascii="Bookman Old Style" w:hAnsi="Bookman Old Style"/>
          <w:sz w:val="24"/>
          <w:szCs w:val="24"/>
        </w:rPr>
      </w:pPr>
    </w:p>
    <w:p w14:paraId="4200B734" w14:textId="77777777" w:rsidR="00A2471D" w:rsidRDefault="00A2471D" w:rsidP="00A2471D">
      <w:pPr>
        <w:spacing w:before="174" w:after="0" w:line="276" w:lineRule="exact"/>
        <w:jc w:val="center"/>
      </w:pPr>
      <w:r>
        <w:rPr>
          <w:rFonts w:ascii="Times New Roman Bold" w:hAnsi="Times New Roman Bold" w:cs="Times New Roman Bold"/>
          <w:color w:val="000000"/>
          <w:sz w:val="24"/>
          <w:szCs w:val="24"/>
        </w:rPr>
        <w:lastRenderedPageBreak/>
        <w:t>A</w:t>
      </w:r>
      <w:r>
        <w:rPr>
          <w:rFonts w:ascii="Times New Roman Bold" w:hAnsi="Times New Roman Bold" w:cs="Times New Roman Bold"/>
          <w:color w:val="000000"/>
          <w:sz w:val="19"/>
          <w:szCs w:val="19"/>
        </w:rPr>
        <w:t>NNEXURE</w:t>
      </w:r>
      <w:r>
        <w:rPr>
          <w:rFonts w:ascii="Times New Roman Bold" w:hAnsi="Times New Roman Bold" w:cs="Times New Roman Bold"/>
          <w:color w:val="000000"/>
          <w:sz w:val="24"/>
          <w:szCs w:val="24"/>
        </w:rPr>
        <w:t>-B</w:t>
      </w:r>
    </w:p>
    <w:p w14:paraId="308118FD" w14:textId="77777777" w:rsidR="00A2471D" w:rsidRPr="007E7E2F" w:rsidRDefault="00A2471D" w:rsidP="00A2471D">
      <w:pPr>
        <w:spacing w:after="0" w:line="322" w:lineRule="exact"/>
        <w:jc w:val="center"/>
        <w:rPr>
          <w:rFonts w:ascii="Bookman Old Style" w:hAnsi="Bookman Old Style"/>
          <w:sz w:val="24"/>
          <w:szCs w:val="24"/>
        </w:rPr>
      </w:pPr>
      <w:r w:rsidRPr="007E7E2F">
        <w:rPr>
          <w:rFonts w:ascii="Bookman Old Style" w:hAnsi="Bookman Old Style" w:cs="Times New Roman Bold"/>
          <w:color w:val="000000"/>
          <w:sz w:val="24"/>
          <w:szCs w:val="24"/>
        </w:rPr>
        <w:t>Power Factor Incentive/Disincentive</w:t>
      </w:r>
    </w:p>
    <w:p w14:paraId="63A8663E" w14:textId="77777777" w:rsidR="00A2471D" w:rsidRPr="007E7E2F" w:rsidRDefault="00A2471D" w:rsidP="00A2471D">
      <w:pPr>
        <w:spacing w:before="140" w:after="0" w:line="320" w:lineRule="exact"/>
        <w:ind w:firstLine="720"/>
        <w:jc w:val="both"/>
        <w:rPr>
          <w:rFonts w:ascii="Bookman Old Style" w:hAnsi="Bookman Old Style"/>
          <w:sz w:val="24"/>
          <w:szCs w:val="24"/>
        </w:rPr>
      </w:pPr>
      <w:r w:rsidRPr="007E7E2F">
        <w:rPr>
          <w:rFonts w:ascii="Bookman Old Style" w:hAnsi="Bookman Old Style" w:cs="Times New Roman"/>
          <w:color w:val="000000"/>
          <w:sz w:val="24"/>
          <w:szCs w:val="24"/>
        </w:rPr>
        <w:t>The following incentive and disincentive shall be applicable to LT industrial</w:t>
      </w:r>
      <w:r>
        <w:rPr>
          <w:rFonts w:ascii="Bookman Old Style" w:hAnsi="Bookman Old Style" w:cs="Times New Roman"/>
          <w:color w:val="000000"/>
          <w:sz w:val="24"/>
          <w:szCs w:val="24"/>
        </w:rPr>
        <w:t xml:space="preserve"> </w:t>
      </w:r>
      <w:r w:rsidRPr="007E7E2F">
        <w:rPr>
          <w:rFonts w:ascii="Bookman Old Style" w:hAnsi="Bookman Old Style" w:cs="Times New Roman"/>
          <w:color w:val="000000"/>
          <w:sz w:val="24"/>
          <w:szCs w:val="24"/>
        </w:rPr>
        <w:t>consumers with a connected load of and above 20 kW, HT&amp;EHT Consumers for power factor improvement.</w:t>
      </w:r>
    </w:p>
    <w:p w14:paraId="4E674B8A" w14:textId="77777777" w:rsidR="00A2471D" w:rsidRPr="007E7E2F" w:rsidRDefault="00A2471D" w:rsidP="00A2471D">
      <w:pPr>
        <w:spacing w:after="0" w:line="220" w:lineRule="exact"/>
        <w:rPr>
          <w:rFonts w:ascii="Bookman Old Style" w:hAnsi="Bookman Old Style"/>
          <w:sz w:val="24"/>
          <w:szCs w:val="24"/>
        </w:rPr>
      </w:pPr>
    </w:p>
    <w:tbl>
      <w:tblPr>
        <w:tblW w:w="8010" w:type="dxa"/>
        <w:tblInd w:w="714" w:type="dxa"/>
        <w:tblLayout w:type="fixed"/>
        <w:tblCellMar>
          <w:left w:w="0" w:type="dxa"/>
          <w:right w:w="0" w:type="dxa"/>
        </w:tblCellMar>
        <w:tblLook w:val="04A0" w:firstRow="1" w:lastRow="0" w:firstColumn="1" w:lastColumn="0" w:noHBand="0" w:noVBand="1"/>
      </w:tblPr>
      <w:tblGrid>
        <w:gridCol w:w="3420"/>
        <w:gridCol w:w="4590"/>
      </w:tblGrid>
      <w:tr w:rsidR="00A2471D" w:rsidRPr="007E7E2F" w14:paraId="305A239F" w14:textId="77777777" w:rsidTr="00F72D75">
        <w:trPr>
          <w:trHeight w:hRule="exact" w:val="312"/>
        </w:trPr>
        <w:tc>
          <w:tcPr>
            <w:tcW w:w="3420" w:type="dxa"/>
            <w:tcBorders>
              <w:top w:val="single" w:sz="5" w:space="0" w:color="000000"/>
              <w:left w:val="single" w:sz="5" w:space="0" w:color="000000"/>
              <w:bottom w:val="single" w:sz="5" w:space="0" w:color="000000"/>
              <w:right w:val="single" w:sz="5" w:space="0" w:color="000000"/>
            </w:tcBorders>
          </w:tcPr>
          <w:p w14:paraId="6BC9C000" w14:textId="77777777" w:rsidR="00A2471D" w:rsidRPr="007E7E2F" w:rsidRDefault="00A2471D" w:rsidP="00F72D75">
            <w:pPr>
              <w:spacing w:before="8" w:after="0" w:line="276" w:lineRule="exact"/>
              <w:jc w:val="center"/>
              <w:rPr>
                <w:rFonts w:ascii="Bookman Old Style" w:hAnsi="Bookman Old Style"/>
                <w:sz w:val="24"/>
                <w:szCs w:val="24"/>
              </w:rPr>
            </w:pPr>
            <w:r w:rsidRPr="007E7E2F">
              <w:rPr>
                <w:rFonts w:ascii="Bookman Old Style" w:hAnsi="Bookman Old Style" w:cs="Times New Roman Bold"/>
                <w:color w:val="000000"/>
                <w:sz w:val="24"/>
                <w:szCs w:val="24"/>
              </w:rPr>
              <w:t>PF range (lag)</w:t>
            </w:r>
          </w:p>
        </w:tc>
        <w:tc>
          <w:tcPr>
            <w:tcW w:w="4590" w:type="dxa"/>
            <w:tcBorders>
              <w:top w:val="single" w:sz="5" w:space="0" w:color="000000"/>
              <w:left w:val="single" w:sz="5" w:space="0" w:color="000000"/>
              <w:bottom w:val="single" w:sz="5" w:space="0" w:color="000000"/>
              <w:right w:val="single" w:sz="5" w:space="0" w:color="000000"/>
            </w:tcBorders>
          </w:tcPr>
          <w:p w14:paraId="35D7BC28" w14:textId="77777777" w:rsidR="00A2471D" w:rsidRPr="007E7E2F" w:rsidRDefault="00A2471D" w:rsidP="00F72D75">
            <w:pPr>
              <w:spacing w:before="8" w:after="0" w:line="276" w:lineRule="exact"/>
              <w:jc w:val="center"/>
              <w:rPr>
                <w:rFonts w:ascii="Bookman Old Style" w:hAnsi="Bookman Old Style"/>
                <w:sz w:val="24"/>
                <w:szCs w:val="24"/>
              </w:rPr>
            </w:pPr>
            <w:r w:rsidRPr="007E7E2F">
              <w:rPr>
                <w:rFonts w:ascii="Bookman Old Style" w:hAnsi="Bookman Old Style" w:cs="Times New Roman Bold"/>
                <w:color w:val="000000"/>
                <w:sz w:val="24"/>
                <w:szCs w:val="24"/>
              </w:rPr>
              <w:t>Incentive/Penalty</w:t>
            </w:r>
          </w:p>
        </w:tc>
      </w:tr>
      <w:tr w:rsidR="00A2471D" w:rsidRPr="007E7E2F" w14:paraId="08961B90" w14:textId="77777777" w:rsidTr="00F72D75">
        <w:trPr>
          <w:trHeight w:hRule="exact" w:val="448"/>
        </w:trPr>
        <w:tc>
          <w:tcPr>
            <w:tcW w:w="8010" w:type="dxa"/>
            <w:gridSpan w:val="2"/>
            <w:tcBorders>
              <w:top w:val="single" w:sz="5" w:space="0" w:color="000000"/>
              <w:left w:val="single" w:sz="5" w:space="0" w:color="000000"/>
              <w:bottom w:val="single" w:sz="5" w:space="0" w:color="000000"/>
              <w:right w:val="single" w:sz="5" w:space="0" w:color="000000"/>
            </w:tcBorders>
          </w:tcPr>
          <w:p w14:paraId="0D15637B" w14:textId="77777777" w:rsidR="00A2471D" w:rsidRPr="007E7E2F" w:rsidRDefault="00A2471D" w:rsidP="00F72D75">
            <w:pPr>
              <w:spacing w:before="74" w:after="0" w:line="276" w:lineRule="exact"/>
              <w:jc w:val="center"/>
              <w:rPr>
                <w:rFonts w:ascii="Bookman Old Style" w:hAnsi="Bookman Old Style"/>
                <w:sz w:val="24"/>
                <w:szCs w:val="24"/>
              </w:rPr>
            </w:pPr>
            <w:r w:rsidRPr="007E7E2F">
              <w:rPr>
                <w:rFonts w:ascii="Bookman Old Style" w:hAnsi="Bookman Old Style" w:cs="Times New Roman Bold"/>
                <w:color w:val="000000"/>
                <w:sz w:val="24"/>
                <w:szCs w:val="24"/>
              </w:rPr>
              <w:t>Incentive</w:t>
            </w:r>
          </w:p>
        </w:tc>
      </w:tr>
      <w:tr w:rsidR="00A2471D" w:rsidRPr="007E7E2F" w14:paraId="5718C7E4" w14:textId="77777777" w:rsidTr="00F72D75">
        <w:trPr>
          <w:trHeight w:hRule="exact" w:val="980"/>
        </w:trPr>
        <w:tc>
          <w:tcPr>
            <w:tcW w:w="3420" w:type="dxa"/>
            <w:tcBorders>
              <w:top w:val="single" w:sz="5" w:space="0" w:color="000000"/>
              <w:left w:val="single" w:sz="5" w:space="0" w:color="000000"/>
              <w:bottom w:val="single" w:sz="5" w:space="0" w:color="000000"/>
              <w:right w:val="single" w:sz="5" w:space="0" w:color="000000"/>
            </w:tcBorders>
          </w:tcPr>
          <w:p w14:paraId="01AC076F" w14:textId="77777777" w:rsidR="00A2471D" w:rsidRPr="007E7E2F" w:rsidRDefault="00A2471D" w:rsidP="00F72D75">
            <w:pPr>
              <w:spacing w:before="207" w:after="0" w:line="276" w:lineRule="exact"/>
              <w:rPr>
                <w:rFonts w:ascii="Bookman Old Style" w:hAnsi="Bookman Old Style"/>
                <w:sz w:val="24"/>
                <w:szCs w:val="24"/>
              </w:rPr>
            </w:pPr>
            <w:r w:rsidRPr="007E7E2F">
              <w:rPr>
                <w:rFonts w:ascii="Bookman Old Style" w:hAnsi="Bookman Old Style" w:cs="Times New Roman"/>
                <w:color w:val="000000"/>
                <w:sz w:val="24"/>
                <w:szCs w:val="24"/>
              </w:rPr>
              <w:t xml:space="preserve">Above 0.95 and </w:t>
            </w:r>
            <w:proofErr w:type="spellStart"/>
            <w:r w:rsidRPr="007E7E2F">
              <w:rPr>
                <w:rFonts w:ascii="Bookman Old Style" w:hAnsi="Bookman Old Style" w:cs="Times New Roman"/>
                <w:color w:val="000000"/>
                <w:sz w:val="24"/>
                <w:szCs w:val="24"/>
              </w:rPr>
              <w:t>upto</w:t>
            </w:r>
            <w:proofErr w:type="spellEnd"/>
            <w:r w:rsidRPr="007E7E2F">
              <w:rPr>
                <w:rFonts w:ascii="Bookman Old Style" w:hAnsi="Bookman Old Style" w:cs="Times New Roman"/>
                <w:color w:val="000000"/>
                <w:sz w:val="24"/>
                <w:szCs w:val="24"/>
              </w:rPr>
              <w:t xml:space="preserve"> 1.00</w:t>
            </w:r>
          </w:p>
        </w:tc>
        <w:tc>
          <w:tcPr>
            <w:tcW w:w="4590" w:type="dxa"/>
            <w:tcBorders>
              <w:top w:val="single" w:sz="5" w:space="0" w:color="000000"/>
              <w:left w:val="single" w:sz="5" w:space="0" w:color="000000"/>
              <w:bottom w:val="single" w:sz="5" w:space="0" w:color="000000"/>
              <w:right w:val="single" w:sz="5" w:space="0" w:color="000000"/>
            </w:tcBorders>
          </w:tcPr>
          <w:p w14:paraId="3FA5CF91" w14:textId="77777777" w:rsidR="00A2471D" w:rsidRPr="007E7E2F" w:rsidRDefault="00A2471D" w:rsidP="00F72D75">
            <w:pPr>
              <w:spacing w:after="0" w:line="276" w:lineRule="exact"/>
              <w:rPr>
                <w:rFonts w:ascii="Bookman Old Style" w:hAnsi="Bookman Old Style"/>
                <w:sz w:val="24"/>
                <w:szCs w:val="24"/>
              </w:rPr>
            </w:pPr>
            <w:r w:rsidRPr="007E7E2F">
              <w:rPr>
                <w:rFonts w:ascii="Bookman Old Style" w:hAnsi="Bookman Old Style" w:cs="Times New Roman"/>
                <w:color w:val="000000"/>
                <w:sz w:val="24"/>
                <w:szCs w:val="24"/>
              </w:rPr>
              <w:t>0.50% of the Energy Charge for each 0.01</w:t>
            </w:r>
            <w:r>
              <w:rPr>
                <w:rFonts w:ascii="Bookman Old Style" w:hAnsi="Bookman Old Style" w:cs="Times New Roman"/>
                <w:color w:val="000000"/>
                <w:sz w:val="24"/>
                <w:szCs w:val="24"/>
              </w:rPr>
              <w:t xml:space="preserve"> </w:t>
            </w:r>
            <w:r w:rsidRPr="007E7E2F">
              <w:rPr>
                <w:rFonts w:ascii="Bookman Old Style" w:hAnsi="Bookman Old Style" w:cs="Times New Roman"/>
                <w:color w:val="000000"/>
                <w:sz w:val="24"/>
                <w:szCs w:val="24"/>
              </w:rPr>
              <w:t>unit increase in power factor from 0.95</w:t>
            </w:r>
          </w:p>
        </w:tc>
      </w:tr>
      <w:tr w:rsidR="00A2471D" w:rsidRPr="007E7E2F" w14:paraId="1DE43144" w14:textId="77777777" w:rsidTr="00F72D75">
        <w:trPr>
          <w:trHeight w:hRule="exact" w:val="439"/>
        </w:trPr>
        <w:tc>
          <w:tcPr>
            <w:tcW w:w="8010" w:type="dxa"/>
            <w:gridSpan w:val="2"/>
            <w:tcBorders>
              <w:top w:val="single" w:sz="5" w:space="0" w:color="000000"/>
              <w:left w:val="single" w:sz="5" w:space="0" w:color="000000"/>
              <w:bottom w:val="single" w:sz="5" w:space="0" w:color="000000"/>
              <w:right w:val="single" w:sz="5" w:space="0" w:color="000000"/>
            </w:tcBorders>
          </w:tcPr>
          <w:p w14:paraId="6CB95AFB" w14:textId="77777777" w:rsidR="00A2471D" w:rsidRPr="007E7E2F" w:rsidRDefault="00A2471D" w:rsidP="00F72D75">
            <w:pPr>
              <w:spacing w:before="79" w:after="0" w:line="276" w:lineRule="exact"/>
              <w:jc w:val="center"/>
              <w:rPr>
                <w:rFonts w:ascii="Bookman Old Style" w:hAnsi="Bookman Old Style"/>
                <w:sz w:val="24"/>
                <w:szCs w:val="24"/>
              </w:rPr>
            </w:pPr>
            <w:r w:rsidRPr="007E7E2F">
              <w:rPr>
                <w:rFonts w:ascii="Bookman Old Style" w:hAnsi="Bookman Old Style" w:cs="Times New Roman Bold"/>
                <w:color w:val="000000"/>
                <w:sz w:val="24"/>
                <w:szCs w:val="24"/>
              </w:rPr>
              <w:t>Penalty</w:t>
            </w:r>
          </w:p>
        </w:tc>
      </w:tr>
      <w:tr w:rsidR="00A2471D" w:rsidRPr="007E7E2F" w14:paraId="1CB198EA" w14:textId="77777777" w:rsidTr="00F72D75">
        <w:trPr>
          <w:trHeight w:hRule="exact" w:val="899"/>
        </w:trPr>
        <w:tc>
          <w:tcPr>
            <w:tcW w:w="3420" w:type="dxa"/>
            <w:tcBorders>
              <w:top w:val="single" w:sz="5" w:space="0" w:color="000000"/>
              <w:left w:val="single" w:sz="5" w:space="0" w:color="000000"/>
              <w:bottom w:val="single" w:sz="5" w:space="0" w:color="000000"/>
              <w:right w:val="single" w:sz="5" w:space="0" w:color="000000"/>
            </w:tcBorders>
          </w:tcPr>
          <w:p w14:paraId="5642CEB3" w14:textId="77777777" w:rsidR="00A2471D" w:rsidRPr="007E7E2F" w:rsidRDefault="00A2471D" w:rsidP="00F72D75">
            <w:pPr>
              <w:spacing w:before="209" w:after="0" w:line="276" w:lineRule="exact"/>
              <w:rPr>
                <w:rFonts w:ascii="Bookman Old Style" w:hAnsi="Bookman Old Style"/>
                <w:sz w:val="24"/>
                <w:szCs w:val="24"/>
              </w:rPr>
            </w:pPr>
            <w:r w:rsidRPr="007E7E2F">
              <w:rPr>
                <w:rFonts w:ascii="Bookman Old Style" w:hAnsi="Bookman Old Style" w:cs="Times New Roman"/>
                <w:color w:val="000000"/>
                <w:sz w:val="24"/>
                <w:szCs w:val="24"/>
              </w:rPr>
              <w:t xml:space="preserve">0.90 and </w:t>
            </w:r>
            <w:proofErr w:type="spellStart"/>
            <w:r w:rsidRPr="007E7E2F">
              <w:rPr>
                <w:rFonts w:ascii="Bookman Old Style" w:hAnsi="Bookman Old Style" w:cs="Times New Roman"/>
                <w:color w:val="000000"/>
                <w:sz w:val="24"/>
                <w:szCs w:val="24"/>
              </w:rPr>
              <w:t>upto</w:t>
            </w:r>
            <w:proofErr w:type="spellEnd"/>
            <w:r w:rsidRPr="007E7E2F">
              <w:rPr>
                <w:rFonts w:ascii="Bookman Old Style" w:hAnsi="Bookman Old Style" w:cs="Times New Roman"/>
                <w:color w:val="000000"/>
                <w:sz w:val="24"/>
                <w:szCs w:val="24"/>
              </w:rPr>
              <w:t xml:space="preserve"> 0.95</w:t>
            </w:r>
          </w:p>
        </w:tc>
        <w:tc>
          <w:tcPr>
            <w:tcW w:w="4590" w:type="dxa"/>
            <w:tcBorders>
              <w:top w:val="single" w:sz="5" w:space="0" w:color="000000"/>
              <w:left w:val="single" w:sz="5" w:space="0" w:color="000000"/>
              <w:bottom w:val="single" w:sz="5" w:space="0" w:color="000000"/>
              <w:right w:val="single" w:sz="5" w:space="0" w:color="000000"/>
            </w:tcBorders>
          </w:tcPr>
          <w:p w14:paraId="5C00906D" w14:textId="77777777" w:rsidR="00A2471D" w:rsidRPr="007E7E2F" w:rsidRDefault="00A2471D" w:rsidP="00F72D75">
            <w:pPr>
              <w:spacing w:after="0" w:line="276" w:lineRule="exact"/>
              <w:rPr>
                <w:rFonts w:ascii="Bookman Old Style" w:hAnsi="Bookman Old Style"/>
                <w:sz w:val="24"/>
                <w:szCs w:val="24"/>
              </w:rPr>
            </w:pPr>
            <w:r w:rsidRPr="007E7E2F">
              <w:rPr>
                <w:rFonts w:ascii="Bookman Old Style" w:hAnsi="Bookman Old Style" w:cs="Times New Roman"/>
                <w:color w:val="000000"/>
                <w:sz w:val="24"/>
                <w:szCs w:val="24"/>
              </w:rPr>
              <w:t>0.50% of the energy charges for every 0.01</w:t>
            </w:r>
            <w:r>
              <w:rPr>
                <w:rFonts w:ascii="Bookman Old Style" w:hAnsi="Bookman Old Style" w:cs="Times New Roman"/>
                <w:color w:val="000000"/>
                <w:sz w:val="24"/>
                <w:szCs w:val="24"/>
              </w:rPr>
              <w:t xml:space="preserve"> </w:t>
            </w:r>
            <w:r w:rsidRPr="007E7E2F">
              <w:rPr>
                <w:rFonts w:ascii="Bookman Old Style" w:hAnsi="Bookman Old Style" w:cs="Times New Roman"/>
                <w:color w:val="000000"/>
                <w:sz w:val="24"/>
                <w:szCs w:val="24"/>
              </w:rPr>
              <w:t xml:space="preserve">fall in PF below 0.95 and </w:t>
            </w:r>
            <w:proofErr w:type="spellStart"/>
            <w:r w:rsidRPr="007E7E2F">
              <w:rPr>
                <w:rFonts w:ascii="Bookman Old Style" w:hAnsi="Bookman Old Style" w:cs="Times New Roman"/>
                <w:color w:val="000000"/>
                <w:sz w:val="24"/>
                <w:szCs w:val="24"/>
              </w:rPr>
              <w:t>upto</w:t>
            </w:r>
            <w:proofErr w:type="spellEnd"/>
            <w:r w:rsidRPr="007E7E2F">
              <w:rPr>
                <w:rFonts w:ascii="Bookman Old Style" w:hAnsi="Bookman Old Style" w:cs="Times New Roman"/>
                <w:color w:val="000000"/>
                <w:sz w:val="24"/>
                <w:szCs w:val="24"/>
              </w:rPr>
              <w:t xml:space="preserve"> 0.90</w:t>
            </w:r>
          </w:p>
        </w:tc>
      </w:tr>
      <w:tr w:rsidR="00A2471D" w:rsidRPr="007E7E2F" w14:paraId="3BDEBDBB" w14:textId="77777777" w:rsidTr="00F72D75">
        <w:trPr>
          <w:trHeight w:hRule="exact" w:val="629"/>
        </w:trPr>
        <w:tc>
          <w:tcPr>
            <w:tcW w:w="3420" w:type="dxa"/>
            <w:tcBorders>
              <w:top w:val="single" w:sz="5" w:space="0" w:color="000000"/>
              <w:left w:val="single" w:sz="5" w:space="0" w:color="000000"/>
              <w:bottom w:val="single" w:sz="5" w:space="0" w:color="000000"/>
              <w:right w:val="single" w:sz="5" w:space="0" w:color="000000"/>
            </w:tcBorders>
          </w:tcPr>
          <w:p w14:paraId="64441163" w14:textId="77777777" w:rsidR="00A2471D" w:rsidRPr="007E7E2F" w:rsidRDefault="00A2471D" w:rsidP="00F72D75">
            <w:pPr>
              <w:spacing w:before="209" w:after="0" w:line="276" w:lineRule="exact"/>
              <w:rPr>
                <w:rFonts w:ascii="Bookman Old Style" w:hAnsi="Bookman Old Style"/>
                <w:sz w:val="24"/>
                <w:szCs w:val="24"/>
              </w:rPr>
            </w:pPr>
            <w:r w:rsidRPr="007E7E2F">
              <w:rPr>
                <w:rFonts w:ascii="Bookman Old Style" w:hAnsi="Bookman Old Style" w:cs="Times New Roman"/>
                <w:color w:val="000000"/>
                <w:sz w:val="24"/>
                <w:szCs w:val="24"/>
              </w:rPr>
              <w:t>below 0.90</w:t>
            </w:r>
          </w:p>
        </w:tc>
        <w:tc>
          <w:tcPr>
            <w:tcW w:w="4590" w:type="dxa"/>
            <w:tcBorders>
              <w:top w:val="single" w:sz="5" w:space="0" w:color="000000"/>
              <w:left w:val="single" w:sz="5" w:space="0" w:color="000000"/>
              <w:bottom w:val="single" w:sz="5" w:space="0" w:color="000000"/>
              <w:right w:val="single" w:sz="5" w:space="0" w:color="000000"/>
            </w:tcBorders>
          </w:tcPr>
          <w:p w14:paraId="225BEEA4" w14:textId="77777777" w:rsidR="00A2471D" w:rsidRPr="007E7E2F" w:rsidRDefault="00A2471D" w:rsidP="00F72D75">
            <w:pPr>
              <w:spacing w:after="0" w:line="276" w:lineRule="exact"/>
              <w:rPr>
                <w:rFonts w:ascii="Bookman Old Style" w:hAnsi="Bookman Old Style"/>
                <w:sz w:val="24"/>
                <w:szCs w:val="24"/>
              </w:rPr>
            </w:pPr>
            <w:r w:rsidRPr="007E7E2F">
              <w:rPr>
                <w:rFonts w:ascii="Bookman Old Style" w:hAnsi="Bookman Old Style" w:cs="Times New Roman"/>
                <w:color w:val="000000"/>
                <w:sz w:val="24"/>
                <w:szCs w:val="24"/>
              </w:rPr>
              <w:t>1% of the energy charge for every 0.01 fall in</w:t>
            </w:r>
            <w:r>
              <w:rPr>
                <w:rFonts w:ascii="Bookman Old Style" w:hAnsi="Bookman Old Style" w:cs="Times New Roman"/>
                <w:color w:val="000000"/>
                <w:sz w:val="24"/>
                <w:szCs w:val="24"/>
              </w:rPr>
              <w:t xml:space="preserve"> </w:t>
            </w:r>
            <w:r w:rsidRPr="007E7E2F">
              <w:rPr>
                <w:rFonts w:ascii="Bookman Old Style" w:hAnsi="Bookman Old Style" w:cs="Times New Roman"/>
                <w:color w:val="000000"/>
                <w:sz w:val="24"/>
                <w:szCs w:val="24"/>
              </w:rPr>
              <w:t>PF from 0.90</w:t>
            </w:r>
          </w:p>
        </w:tc>
      </w:tr>
    </w:tbl>
    <w:p w14:paraId="6B217297" w14:textId="77777777" w:rsidR="00A2471D" w:rsidRPr="007E7E2F" w:rsidRDefault="00A2471D" w:rsidP="00A2471D">
      <w:pPr>
        <w:spacing w:before="110" w:after="0" w:line="276" w:lineRule="exact"/>
        <w:jc w:val="both"/>
        <w:rPr>
          <w:rFonts w:ascii="Bookman Old Style" w:hAnsi="Bookman Old Style"/>
          <w:sz w:val="24"/>
          <w:szCs w:val="24"/>
        </w:rPr>
      </w:pPr>
      <w:r w:rsidRPr="007E7E2F">
        <w:rPr>
          <w:rFonts w:ascii="Bookman Old Style" w:hAnsi="Bookman Old Style" w:cs="Times New Roman Italic"/>
          <w:color w:val="000000"/>
          <w:sz w:val="24"/>
          <w:szCs w:val="24"/>
        </w:rPr>
        <w:t>Note</w:t>
      </w:r>
      <w:r w:rsidRPr="007E7E2F">
        <w:rPr>
          <w:rFonts w:ascii="Bookman Old Style" w:hAnsi="Bookman Old Style" w:cs="Times New Roman"/>
          <w:color w:val="000000"/>
          <w:sz w:val="24"/>
          <w:szCs w:val="24"/>
        </w:rPr>
        <w:t>:—No penalty and incentives for consumers with leading power factor.</w:t>
      </w:r>
    </w:p>
    <w:p w14:paraId="7D360BE1" w14:textId="77777777" w:rsidR="00A2471D" w:rsidRDefault="00A2471D" w:rsidP="00A2471D">
      <w:pPr>
        <w:spacing w:after="0" w:line="360" w:lineRule="auto"/>
        <w:ind w:right="38" w:firstLine="4"/>
        <w:jc w:val="both"/>
        <w:rPr>
          <w:rFonts w:ascii="Bookman Old Style" w:hAnsi="Bookman Old Style" w:cs="Times New Roman"/>
          <w:color w:val="000000"/>
          <w:sz w:val="24"/>
          <w:szCs w:val="24"/>
        </w:rPr>
      </w:pPr>
    </w:p>
    <w:p w14:paraId="1D72AEDA" w14:textId="69F944EF" w:rsidR="00A2471D" w:rsidRPr="007E5601" w:rsidRDefault="00A2471D" w:rsidP="00C14A5C">
      <w:pPr>
        <w:spacing w:after="0" w:line="360" w:lineRule="auto"/>
        <w:ind w:right="38" w:firstLine="720"/>
        <w:jc w:val="both"/>
        <w:rPr>
          <w:rFonts w:ascii="Bookman Old Style" w:hAnsi="Bookman Old Style"/>
        </w:rPr>
      </w:pPr>
      <w:r w:rsidRPr="007E5601">
        <w:rPr>
          <w:rFonts w:ascii="Bookman Old Style" w:hAnsi="Bookman Old Style" w:cs="Times New Roman"/>
          <w:color w:val="000000"/>
          <w:sz w:val="24"/>
          <w:szCs w:val="24"/>
        </w:rPr>
        <w:t xml:space="preserve">From the above. It is clear that the incentive is provided for maintaining a better power factor (above 0.95) and penalty is being imposed on low power factor.   These   are   all   depend   upon the reactive energy ( </w:t>
      </w:r>
      <w:proofErr w:type="spellStart"/>
      <w:r w:rsidRPr="007E5601">
        <w:rPr>
          <w:rFonts w:ascii="Bookman Old Style" w:hAnsi="Bookman Old Style" w:cs="Times New Roman"/>
          <w:color w:val="000000"/>
          <w:sz w:val="24"/>
          <w:szCs w:val="24"/>
        </w:rPr>
        <w:t>kVARh</w:t>
      </w:r>
      <w:proofErr w:type="spellEnd"/>
      <w:r w:rsidRPr="007E5601">
        <w:rPr>
          <w:rFonts w:ascii="Bookman Old Style" w:hAnsi="Bookman Old Style" w:cs="Times New Roman"/>
          <w:color w:val="000000"/>
          <w:sz w:val="24"/>
          <w:szCs w:val="24"/>
        </w:rPr>
        <w:t>) drawn by the machineries/equipment installed in the consumer premises, from the grid. The individual consumer shall provide adequate</w:t>
      </w:r>
      <w:r>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reactive compensation to compensate their inductive power requirement in their system, so that they do not depend upon the grid for reactive power support. As such Hon'ble commission fixed a base power factor</w:t>
      </w:r>
      <w:r>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 xml:space="preserve">0.95 for maintaining grid standard specified by CEA (Technical Standards for connectivity to Grid Regulations,2007). </w:t>
      </w:r>
      <w:r w:rsidR="00C14A5C">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It is to be noted that to maintain a power factor above 0.95, the consumer has to provide</w:t>
      </w:r>
      <w:r>
        <w:rPr>
          <w:rFonts w:ascii="Bookman Old Style" w:hAnsi="Bookman Old Style" w:cs="Times New Roman"/>
          <w:color w:val="000000"/>
          <w:sz w:val="24"/>
          <w:szCs w:val="24"/>
        </w:rPr>
        <w:t xml:space="preserve"> </w:t>
      </w:r>
      <w:r w:rsidRPr="007E5601">
        <w:rPr>
          <w:rFonts w:ascii="Bookman Old Style" w:hAnsi="Bookman Old Style" w:cs="Times New Roman"/>
          <w:color w:val="000000"/>
          <w:sz w:val="24"/>
          <w:szCs w:val="24"/>
        </w:rPr>
        <w:t>static capacitors specified in Annexure-C of the Tariff Schedule.</w:t>
      </w:r>
    </w:p>
    <w:p w14:paraId="53AA9B44" w14:textId="49DBA4DC" w:rsidR="00A2471D" w:rsidRDefault="00C14A5C" w:rsidP="00C14A5C">
      <w:pPr>
        <w:spacing w:before="224" w:after="0" w:line="360" w:lineRule="auto"/>
        <w:ind w:right="38"/>
        <w:jc w:val="both"/>
        <w:rPr>
          <w:rFonts w:ascii="Bookman Old Style" w:hAnsi="Bookman Old Style" w:cs="Times New Roman"/>
          <w:color w:val="000000"/>
          <w:sz w:val="24"/>
          <w:szCs w:val="24"/>
        </w:rPr>
      </w:pPr>
      <w:r>
        <w:rPr>
          <w:rFonts w:ascii="Bookman Old Style" w:hAnsi="Bookman Old Style" w:cs="Times New Roman"/>
          <w:color w:val="000000"/>
          <w:sz w:val="24"/>
          <w:szCs w:val="24"/>
        </w:rPr>
        <w:tab/>
      </w:r>
      <w:r w:rsidR="00A2471D" w:rsidRPr="007E5601">
        <w:rPr>
          <w:rFonts w:ascii="Bookman Old Style" w:hAnsi="Bookman Old Style" w:cs="Times New Roman"/>
          <w:color w:val="000000"/>
          <w:sz w:val="24"/>
          <w:szCs w:val="24"/>
        </w:rPr>
        <w:t>Based on the above (annexure-B), the factors taken for determining the</w:t>
      </w:r>
      <w:r w:rsidR="00A2471D">
        <w:rPr>
          <w:rFonts w:ascii="Bookman Old Style" w:hAnsi="Bookman Old Style" w:cs="Times New Roman"/>
          <w:color w:val="000000"/>
          <w:sz w:val="24"/>
          <w:szCs w:val="24"/>
        </w:rPr>
        <w:t xml:space="preserve"> </w:t>
      </w:r>
      <w:r w:rsidR="00A2471D" w:rsidRPr="007E5601">
        <w:rPr>
          <w:rFonts w:ascii="Bookman Old Style" w:hAnsi="Bookman Old Style" w:cs="Times New Roman"/>
          <w:color w:val="000000"/>
          <w:sz w:val="24"/>
          <w:szCs w:val="24"/>
        </w:rPr>
        <w:t xml:space="preserve">power factor penalty are average power factor, a display parameter provided in the meter and the energy charge (derived from a display parameter consumption) of the consumer. Also, average power factor is the ratio of Active Energy(kWh) to </w:t>
      </w:r>
      <w:r w:rsidR="00A2471D" w:rsidRPr="007E5601">
        <w:rPr>
          <w:rFonts w:ascii="Bookman Old Style" w:hAnsi="Bookman Old Style" w:cs="Times New Roman"/>
          <w:color w:val="000000"/>
          <w:sz w:val="24"/>
          <w:szCs w:val="24"/>
        </w:rPr>
        <w:lastRenderedPageBreak/>
        <w:t>apparent energy(</w:t>
      </w:r>
      <w:proofErr w:type="spellStart"/>
      <w:r w:rsidR="00A2471D" w:rsidRPr="007E5601">
        <w:rPr>
          <w:rFonts w:ascii="Bookman Old Style" w:hAnsi="Bookman Old Style" w:cs="Times New Roman"/>
          <w:color w:val="000000"/>
          <w:sz w:val="24"/>
          <w:szCs w:val="24"/>
        </w:rPr>
        <w:t>kVAh</w:t>
      </w:r>
      <w:proofErr w:type="spellEnd"/>
      <w:r w:rsidR="00A2471D" w:rsidRPr="007E5601">
        <w:rPr>
          <w:rFonts w:ascii="Bookman Old Style" w:hAnsi="Bookman Old Style" w:cs="Times New Roman"/>
          <w:color w:val="000000"/>
          <w:sz w:val="24"/>
          <w:szCs w:val="24"/>
        </w:rPr>
        <w:t>). In KSEB Ltd, this ratio is being taken for power factor incentive/dis-incentive. Thus, general conditions 3,4,5</w:t>
      </w:r>
      <w:r>
        <w:rPr>
          <w:rFonts w:ascii="Bookman Old Style" w:hAnsi="Bookman Old Style" w:cs="Times New Roman"/>
          <w:color w:val="000000"/>
          <w:sz w:val="24"/>
          <w:szCs w:val="24"/>
        </w:rPr>
        <w:t xml:space="preserve"> </w:t>
      </w:r>
      <w:r w:rsidR="00A2471D" w:rsidRPr="007E5601">
        <w:rPr>
          <w:rFonts w:ascii="Bookman Old Style" w:hAnsi="Bookman Old Style" w:cs="Times New Roman"/>
          <w:color w:val="000000"/>
          <w:sz w:val="24"/>
          <w:szCs w:val="24"/>
        </w:rPr>
        <w:t>&amp;</w:t>
      </w:r>
      <w:r>
        <w:rPr>
          <w:rFonts w:ascii="Bookman Old Style" w:hAnsi="Bookman Old Style" w:cs="Times New Roman"/>
          <w:color w:val="000000"/>
          <w:sz w:val="24"/>
          <w:szCs w:val="24"/>
        </w:rPr>
        <w:t xml:space="preserve"> </w:t>
      </w:r>
      <w:r w:rsidR="00A2471D" w:rsidRPr="007E5601">
        <w:rPr>
          <w:rFonts w:ascii="Bookman Old Style" w:hAnsi="Bookman Old Style" w:cs="Times New Roman"/>
          <w:color w:val="000000"/>
          <w:sz w:val="24"/>
          <w:szCs w:val="24"/>
        </w:rPr>
        <w:t xml:space="preserve">6 'Part-A-low tension (LT)TARIFF' of the Tariff Schedule is not applicable (not mandatory) to LT IV </w:t>
      </w:r>
      <w:proofErr w:type="spellStart"/>
      <w:r w:rsidR="00A2471D" w:rsidRPr="007E5601">
        <w:rPr>
          <w:rFonts w:ascii="Bookman Old Style" w:hAnsi="Bookman Old Style" w:cs="Times New Roman"/>
          <w:color w:val="000000"/>
          <w:sz w:val="24"/>
          <w:szCs w:val="24"/>
        </w:rPr>
        <w:t>ToD</w:t>
      </w:r>
      <w:proofErr w:type="spellEnd"/>
      <w:r w:rsidR="00A2471D" w:rsidRPr="007E5601">
        <w:rPr>
          <w:rFonts w:ascii="Bookman Old Style" w:hAnsi="Bookman Old Style" w:cs="Times New Roman"/>
          <w:color w:val="000000"/>
          <w:sz w:val="24"/>
          <w:szCs w:val="24"/>
        </w:rPr>
        <w:t xml:space="preserve"> billed consumers (having connected load of and above 20kW), where power factor penalty is based on average power factor.  Being a display parameter (Avg.PF) on the meter installed in premise, the consumer can view/watch the same (at regular intervals) and appropriate remedial measures can be taken in the case of low power factor. Also detailed bills</w:t>
      </w:r>
      <w:r w:rsidR="00A2471D">
        <w:rPr>
          <w:rFonts w:ascii="Bookman Old Style" w:hAnsi="Bookman Old Style" w:cs="Times New Roman"/>
          <w:color w:val="000000"/>
          <w:sz w:val="24"/>
          <w:szCs w:val="24"/>
        </w:rPr>
        <w:t xml:space="preserve"> </w:t>
      </w:r>
      <w:r w:rsidR="00A2471D" w:rsidRPr="007E5601">
        <w:rPr>
          <w:rFonts w:ascii="Bookman Old Style" w:hAnsi="Bookman Old Style" w:cs="Times New Roman"/>
          <w:color w:val="000000"/>
          <w:sz w:val="24"/>
          <w:szCs w:val="24"/>
        </w:rPr>
        <w:t>are</w:t>
      </w:r>
      <w:r w:rsidR="00A2471D" w:rsidRPr="007E5601">
        <w:rPr>
          <w:rFonts w:ascii="Bookman Old Style" w:hAnsi="Bookman Old Style" w:cs="Times New Roman"/>
          <w:color w:val="000000"/>
          <w:sz w:val="24"/>
          <w:szCs w:val="24"/>
        </w:rPr>
        <w:tab/>
        <w:t>provided</w:t>
      </w:r>
      <w:r w:rsidR="00A2471D" w:rsidRPr="007E5601">
        <w:rPr>
          <w:rFonts w:ascii="Bookman Old Style" w:hAnsi="Bookman Old Style" w:cs="Times New Roman"/>
          <w:color w:val="000000"/>
          <w:sz w:val="24"/>
          <w:szCs w:val="24"/>
        </w:rPr>
        <w:tab/>
        <w:t>in</w:t>
      </w:r>
      <w:r w:rsidR="00A2471D" w:rsidRPr="007E5601">
        <w:rPr>
          <w:rFonts w:ascii="Bookman Old Style" w:hAnsi="Bookman Old Style" w:cs="Times New Roman"/>
          <w:color w:val="000000"/>
          <w:sz w:val="24"/>
          <w:szCs w:val="24"/>
        </w:rPr>
        <w:tab/>
        <w:t>the</w:t>
      </w:r>
      <w:r w:rsidR="00A2471D" w:rsidRPr="007E5601">
        <w:rPr>
          <w:rFonts w:ascii="Bookman Old Style" w:hAnsi="Bookman Old Style" w:cs="Times New Roman"/>
          <w:color w:val="000000"/>
          <w:sz w:val="24"/>
          <w:szCs w:val="24"/>
        </w:rPr>
        <w:tab/>
        <w:t>official</w:t>
      </w:r>
      <w:r w:rsidR="00A2471D">
        <w:rPr>
          <w:rFonts w:ascii="Bookman Old Style" w:hAnsi="Bookman Old Style" w:cs="Times New Roman"/>
          <w:color w:val="000000"/>
          <w:sz w:val="24"/>
          <w:szCs w:val="24"/>
        </w:rPr>
        <w:t xml:space="preserve"> </w:t>
      </w:r>
      <w:r w:rsidR="00A2471D" w:rsidRPr="007E5601">
        <w:rPr>
          <w:rFonts w:ascii="Bookman Old Style" w:hAnsi="Bookman Old Style" w:cs="Times New Roman"/>
          <w:color w:val="000000"/>
          <w:sz w:val="24"/>
          <w:szCs w:val="24"/>
        </w:rPr>
        <w:t>website</w:t>
      </w:r>
      <w:r w:rsidR="00A2471D">
        <w:rPr>
          <w:rFonts w:ascii="Bookman Old Style" w:hAnsi="Bookman Old Style" w:cs="Times New Roman"/>
          <w:color w:val="000000"/>
          <w:sz w:val="24"/>
          <w:szCs w:val="24"/>
        </w:rPr>
        <w:t xml:space="preserve"> </w:t>
      </w:r>
      <w:r w:rsidR="00A2471D" w:rsidRPr="007E5601">
        <w:rPr>
          <w:rFonts w:ascii="Bookman Old Style" w:hAnsi="Bookman Old Style" w:cs="Times New Roman"/>
          <w:color w:val="000000"/>
          <w:sz w:val="24"/>
          <w:szCs w:val="24"/>
        </w:rPr>
        <w:t>of</w:t>
      </w:r>
      <w:r w:rsidR="00A2471D">
        <w:rPr>
          <w:rFonts w:ascii="Bookman Old Style" w:hAnsi="Bookman Old Style" w:cs="Times New Roman"/>
          <w:color w:val="000000"/>
          <w:sz w:val="24"/>
          <w:szCs w:val="24"/>
        </w:rPr>
        <w:t xml:space="preserve"> </w:t>
      </w:r>
      <w:r w:rsidR="00A2471D" w:rsidRPr="007E5601">
        <w:rPr>
          <w:rFonts w:ascii="Bookman Old Style" w:hAnsi="Bookman Old Style" w:cs="Times New Roman"/>
          <w:color w:val="000000"/>
          <w:sz w:val="24"/>
          <w:szCs w:val="24"/>
        </w:rPr>
        <w:t>KSEB</w:t>
      </w:r>
      <w:r w:rsidR="00A2471D">
        <w:rPr>
          <w:rFonts w:ascii="Bookman Old Style" w:hAnsi="Bookman Old Style" w:cs="Times New Roman"/>
          <w:color w:val="000000"/>
          <w:sz w:val="24"/>
          <w:szCs w:val="24"/>
        </w:rPr>
        <w:t xml:space="preserve"> </w:t>
      </w:r>
      <w:r w:rsidR="00A2471D" w:rsidRPr="007E5601">
        <w:rPr>
          <w:rFonts w:ascii="Bookman Old Style" w:hAnsi="Bookman Old Style" w:cs="Times New Roman"/>
          <w:color w:val="000000"/>
          <w:sz w:val="24"/>
          <w:szCs w:val="24"/>
        </w:rPr>
        <w:t>Ltd.</w:t>
      </w:r>
      <w:r w:rsidR="00A2471D">
        <w:rPr>
          <w:rFonts w:ascii="Bookman Old Style" w:hAnsi="Bookman Old Style" w:cs="Times New Roman"/>
          <w:color w:val="000000"/>
          <w:sz w:val="24"/>
          <w:szCs w:val="24"/>
        </w:rPr>
        <w:t xml:space="preserve"> </w:t>
      </w:r>
      <w:r w:rsidR="00A2471D" w:rsidRPr="007E5601">
        <w:rPr>
          <w:rFonts w:ascii="Bookman Old Style" w:hAnsi="Bookman Old Style" w:cs="Times New Roman"/>
          <w:color w:val="000000"/>
          <w:sz w:val="24"/>
          <w:szCs w:val="24"/>
        </w:rPr>
        <w:t>(HOME/CUSTOMERS/LT BILL VIEW) in all cases, in which all charges including power factor penalty are included in the bills. In the bill for February-2021, the consumer is charged with a power factor penalty of Rs.38</w:t>
      </w:r>
      <w:r w:rsidR="00E50D78">
        <w:rPr>
          <w:rFonts w:ascii="Bookman Old Style" w:hAnsi="Bookman Old Style" w:cs="Times New Roman"/>
          <w:color w:val="000000"/>
          <w:sz w:val="24"/>
          <w:szCs w:val="24"/>
        </w:rPr>
        <w:t>4</w:t>
      </w:r>
      <w:r w:rsidR="00A2471D" w:rsidRPr="007E5601">
        <w:rPr>
          <w:rFonts w:ascii="Bookman Old Style" w:hAnsi="Bookman Old Style" w:cs="Times New Roman"/>
          <w:color w:val="000000"/>
          <w:sz w:val="24"/>
          <w:szCs w:val="24"/>
        </w:rPr>
        <w:t>/-</w:t>
      </w:r>
      <w:r>
        <w:rPr>
          <w:rFonts w:ascii="Bookman Old Style" w:hAnsi="Bookman Old Style" w:cs="Times New Roman"/>
          <w:color w:val="000000"/>
          <w:sz w:val="24"/>
          <w:szCs w:val="24"/>
        </w:rPr>
        <w:t xml:space="preserve"> </w:t>
      </w:r>
      <w:r w:rsidR="00A2471D" w:rsidRPr="007E5601">
        <w:rPr>
          <w:rFonts w:ascii="Bookman Old Style" w:hAnsi="Bookman Old Style" w:cs="Times New Roman"/>
          <w:color w:val="000000"/>
          <w:sz w:val="24"/>
          <w:szCs w:val="24"/>
        </w:rPr>
        <w:t xml:space="preserve">(with average power factor 0.94) even after the modernization work carried out in the premise. </w:t>
      </w:r>
      <w:r>
        <w:rPr>
          <w:rFonts w:ascii="Bookman Old Style" w:hAnsi="Bookman Old Style" w:cs="Times New Roman"/>
          <w:color w:val="000000"/>
          <w:sz w:val="24"/>
          <w:szCs w:val="24"/>
        </w:rPr>
        <w:t xml:space="preserve"> </w:t>
      </w:r>
      <w:r w:rsidR="00A2471D" w:rsidRPr="007E5601">
        <w:rPr>
          <w:rFonts w:ascii="Bookman Old Style" w:hAnsi="Bookman Old Style" w:cs="Times New Roman"/>
          <w:color w:val="000000"/>
          <w:sz w:val="24"/>
          <w:szCs w:val="24"/>
        </w:rPr>
        <w:t>Thus, the consumer, even after aware of penalization, did not make any earnest attempts to provide a better</w:t>
      </w:r>
      <w:r w:rsidR="00E50D78">
        <w:rPr>
          <w:rFonts w:ascii="Bookman Old Style" w:hAnsi="Bookman Old Style" w:cs="Times New Roman"/>
          <w:color w:val="000000"/>
          <w:sz w:val="24"/>
          <w:szCs w:val="24"/>
        </w:rPr>
        <w:t xml:space="preserve"> power factor.</w:t>
      </w:r>
    </w:p>
    <w:p w14:paraId="499EE400" w14:textId="20D845C5" w:rsidR="004574F7" w:rsidRPr="003241C9" w:rsidRDefault="004574F7" w:rsidP="004574F7">
      <w:pPr>
        <w:spacing w:before="204" w:after="0" w:line="360" w:lineRule="auto"/>
        <w:jc w:val="both"/>
        <w:rPr>
          <w:rFonts w:ascii="Bookman Old Style" w:hAnsi="Bookman Old Style"/>
        </w:rPr>
      </w:pPr>
      <w:r>
        <w:rPr>
          <w:rFonts w:ascii="Bookman Old Style" w:hAnsi="Bookman Old Style" w:cs="Times New Roman"/>
          <w:color w:val="000000"/>
          <w:sz w:val="24"/>
          <w:szCs w:val="24"/>
        </w:rPr>
        <w:tab/>
      </w:r>
      <w:r w:rsidRPr="003241C9">
        <w:rPr>
          <w:rFonts w:ascii="Bookman Old Style" w:hAnsi="Bookman Old Style" w:cs="Times New Roman"/>
          <w:color w:val="000000"/>
          <w:sz w:val="24"/>
          <w:szCs w:val="24"/>
        </w:rPr>
        <w:t>The general conditions 3, 4,</w:t>
      </w:r>
      <w:r>
        <w:rPr>
          <w:rFonts w:ascii="Bookman Old Style" w:hAnsi="Bookman Old Style" w:cs="Times New Roman"/>
          <w:color w:val="000000"/>
          <w:sz w:val="24"/>
          <w:szCs w:val="24"/>
        </w:rPr>
        <w:t xml:space="preserve"> </w:t>
      </w:r>
      <w:r w:rsidRPr="003241C9">
        <w:rPr>
          <w:rFonts w:ascii="Bookman Old Style" w:hAnsi="Bookman Old Style" w:cs="Times New Roman"/>
          <w:color w:val="000000"/>
          <w:sz w:val="24"/>
          <w:szCs w:val="24"/>
        </w:rPr>
        <w:t>5 &amp; 6 Part-A-</w:t>
      </w:r>
      <w:r>
        <w:rPr>
          <w:rFonts w:ascii="Bookman Old Style" w:hAnsi="Bookman Old Style" w:cs="Times New Roman"/>
          <w:color w:val="000000"/>
          <w:sz w:val="24"/>
          <w:szCs w:val="24"/>
        </w:rPr>
        <w:t>L</w:t>
      </w:r>
      <w:r w:rsidRPr="003241C9">
        <w:rPr>
          <w:rFonts w:ascii="Bookman Old Style" w:hAnsi="Bookman Old Style" w:cs="Times New Roman"/>
          <w:color w:val="000000"/>
          <w:sz w:val="24"/>
          <w:szCs w:val="24"/>
        </w:rPr>
        <w:t xml:space="preserve">ow </w:t>
      </w:r>
      <w:r>
        <w:rPr>
          <w:rFonts w:ascii="Bookman Old Style" w:hAnsi="Bookman Old Style" w:cs="Times New Roman"/>
          <w:color w:val="000000"/>
          <w:sz w:val="24"/>
          <w:szCs w:val="24"/>
        </w:rPr>
        <w:t>T</w:t>
      </w:r>
      <w:r w:rsidRPr="003241C9">
        <w:rPr>
          <w:rFonts w:ascii="Bookman Old Style" w:hAnsi="Bookman Old Style" w:cs="Times New Roman"/>
          <w:color w:val="000000"/>
          <w:sz w:val="24"/>
          <w:szCs w:val="24"/>
        </w:rPr>
        <w:t>ension (LT) TARIFF' of the  Tariff  schedule  is  not  applicable (not  mandatory)  to  LT  IV Industrial/</w:t>
      </w:r>
      <w:r>
        <w:rPr>
          <w:rFonts w:ascii="Bookman Old Style" w:hAnsi="Bookman Old Style" w:cs="Times New Roman"/>
          <w:color w:val="000000"/>
          <w:sz w:val="24"/>
          <w:szCs w:val="24"/>
        </w:rPr>
        <w:t xml:space="preserve"> </w:t>
      </w:r>
      <w:r w:rsidRPr="003241C9">
        <w:rPr>
          <w:rFonts w:ascii="Bookman Old Style" w:hAnsi="Bookman Old Style" w:cs="Times New Roman"/>
          <w:color w:val="000000"/>
          <w:sz w:val="24"/>
          <w:szCs w:val="24"/>
        </w:rPr>
        <w:t xml:space="preserve">Agriculture consumers billed under normal tariff. </w:t>
      </w:r>
      <w:r>
        <w:rPr>
          <w:rFonts w:ascii="Bookman Old Style" w:hAnsi="Bookman Old Style" w:cs="Times New Roman"/>
          <w:color w:val="000000"/>
          <w:sz w:val="24"/>
          <w:szCs w:val="24"/>
        </w:rPr>
        <w:t xml:space="preserve"> </w:t>
      </w:r>
      <w:r w:rsidRPr="003241C9">
        <w:rPr>
          <w:rFonts w:ascii="Bookman Old Style" w:hAnsi="Bookman Old Style" w:cs="Times New Roman"/>
          <w:color w:val="000000"/>
          <w:sz w:val="24"/>
          <w:szCs w:val="24"/>
        </w:rPr>
        <w:t>In order to provide an accurate bill as specified in the Schedule in the case of consumers other than demand-based consumers, the meter reader has to see whether the consumer has provided capacitors of adequate rating as per 'Schedule of Tariff' and to ensure that same is working properly.</w:t>
      </w:r>
      <w:r>
        <w:rPr>
          <w:rFonts w:ascii="Bookman Old Style" w:hAnsi="Bookman Old Style" w:cs="Times New Roman"/>
          <w:color w:val="000000"/>
          <w:sz w:val="24"/>
          <w:szCs w:val="24"/>
        </w:rPr>
        <w:t xml:space="preserve"> </w:t>
      </w:r>
      <w:r w:rsidRPr="003241C9">
        <w:rPr>
          <w:rFonts w:ascii="Bookman Old Style" w:hAnsi="Bookman Old Style" w:cs="Times New Roman"/>
          <w:color w:val="000000"/>
          <w:sz w:val="24"/>
          <w:szCs w:val="24"/>
        </w:rPr>
        <w:t xml:space="preserve"> It is obligatory to check the working condition of the capacitor to fix the penalty as per clause 3 of the </w:t>
      </w:r>
      <w:r>
        <w:rPr>
          <w:rFonts w:ascii="Bookman Old Style" w:hAnsi="Bookman Old Style" w:cs="Times New Roman"/>
          <w:color w:val="000000"/>
          <w:sz w:val="24"/>
          <w:szCs w:val="24"/>
        </w:rPr>
        <w:t>G</w:t>
      </w:r>
      <w:r w:rsidRPr="003241C9">
        <w:rPr>
          <w:rFonts w:ascii="Bookman Old Style" w:hAnsi="Bookman Old Style" w:cs="Times New Roman"/>
          <w:color w:val="000000"/>
          <w:sz w:val="24"/>
          <w:szCs w:val="24"/>
        </w:rPr>
        <w:t xml:space="preserve">eneral Conditions. The same is not mandatory to fix the penalty in the case of demand-based consumers, where the same is being fixed based on the average power factor recorded in the meter. </w:t>
      </w:r>
      <w:r>
        <w:rPr>
          <w:rFonts w:ascii="Bookman Old Style" w:hAnsi="Bookman Old Style" w:cs="Times New Roman"/>
          <w:color w:val="000000"/>
          <w:sz w:val="24"/>
          <w:szCs w:val="24"/>
        </w:rPr>
        <w:t xml:space="preserve"> </w:t>
      </w:r>
      <w:r w:rsidRPr="003241C9">
        <w:rPr>
          <w:rFonts w:ascii="Bookman Old Style" w:hAnsi="Bookman Old Style" w:cs="Times New Roman"/>
          <w:color w:val="000000"/>
          <w:sz w:val="24"/>
          <w:szCs w:val="24"/>
        </w:rPr>
        <w:t>It may be noted that general view on the matter will affect the financials of the KSEBL.</w:t>
      </w:r>
    </w:p>
    <w:p w14:paraId="6F9DB9AD" w14:textId="77777777" w:rsidR="004574F7" w:rsidRPr="003241C9" w:rsidRDefault="004574F7" w:rsidP="004574F7">
      <w:pPr>
        <w:tabs>
          <w:tab w:val="left" w:pos="0"/>
        </w:tabs>
        <w:spacing w:after="0" w:line="360" w:lineRule="auto"/>
        <w:jc w:val="both"/>
        <w:rPr>
          <w:rFonts w:ascii="Bookman Old Style" w:hAnsi="Bookman Old Style"/>
        </w:rPr>
      </w:pPr>
      <w:r w:rsidRPr="003241C9">
        <w:rPr>
          <w:rFonts w:ascii="Bookman Old Style" w:hAnsi="Bookman Old Style" w:cs="Times New Roman"/>
          <w:color w:val="000000"/>
          <w:sz w:val="24"/>
          <w:szCs w:val="24"/>
        </w:rPr>
        <w:t xml:space="preserve">Kerala Electricity Supply Code-2014 also insist for installation of shunt </w:t>
      </w:r>
      <w:r w:rsidRPr="003241C9">
        <w:rPr>
          <w:rFonts w:ascii="Bookman Old Style" w:hAnsi="Bookman Old Style"/>
        </w:rPr>
        <w:br/>
      </w:r>
      <w:r w:rsidRPr="003241C9">
        <w:rPr>
          <w:rFonts w:ascii="Bookman Old Style" w:hAnsi="Bookman Old Style" w:cs="Times New Roman"/>
          <w:color w:val="000000"/>
          <w:sz w:val="24"/>
          <w:szCs w:val="24"/>
        </w:rPr>
        <w:t>capacitors and the relevant regulation is reproduced below:</w:t>
      </w:r>
    </w:p>
    <w:p w14:paraId="10E90E59" w14:textId="77777777" w:rsidR="004574F7" w:rsidRPr="003241C9" w:rsidRDefault="004574F7" w:rsidP="004574F7">
      <w:pPr>
        <w:spacing w:before="20" w:after="0" w:line="360" w:lineRule="auto"/>
        <w:ind w:firstLine="715"/>
        <w:jc w:val="both"/>
        <w:rPr>
          <w:rFonts w:ascii="Bookman Old Style" w:hAnsi="Bookman Old Style"/>
        </w:rPr>
      </w:pPr>
      <w:r w:rsidRPr="003241C9">
        <w:rPr>
          <w:rFonts w:ascii="Bookman Old Style" w:hAnsi="Bookman Old Style" w:cs="Times New Roman"/>
          <w:color w:val="000000"/>
          <w:sz w:val="24"/>
          <w:szCs w:val="24"/>
        </w:rPr>
        <w:t xml:space="preserve">16(2) </w:t>
      </w:r>
      <w:proofErr w:type="gramStart"/>
      <w:r w:rsidRPr="003241C9">
        <w:rPr>
          <w:rFonts w:ascii="Bookman Old Style" w:hAnsi="Bookman Old Style" w:cs="Times New Roman"/>
          <w:color w:val="000000"/>
          <w:sz w:val="24"/>
          <w:szCs w:val="24"/>
        </w:rPr>
        <w:t>supply</w:t>
      </w:r>
      <w:proofErr w:type="gramEnd"/>
      <w:r w:rsidRPr="003241C9">
        <w:rPr>
          <w:rFonts w:ascii="Bookman Old Style" w:hAnsi="Bookman Old Style" w:cs="Times New Roman"/>
          <w:color w:val="000000"/>
          <w:sz w:val="24"/>
          <w:szCs w:val="24"/>
        </w:rPr>
        <w:t xml:space="preserve"> of electricity shall not be given to any applicant at low tension for utilizing induction motors of 0.746kW(1HP) capacity or above or for welding transformers of 1kVA capacity or above, unless shunt capacitors of appropriate rating are installed by the consumer across the terminals of such motors or welding </w:t>
      </w:r>
      <w:r w:rsidRPr="003241C9">
        <w:rPr>
          <w:rFonts w:ascii="Bookman Old Style" w:hAnsi="Bookman Old Style" w:cs="Times New Roman"/>
          <w:color w:val="000000"/>
          <w:sz w:val="24"/>
          <w:szCs w:val="24"/>
        </w:rPr>
        <w:lastRenderedPageBreak/>
        <w:t>transformers, to achieve an average monthly power factor that is specified by the commission in the tariff order.</w:t>
      </w:r>
    </w:p>
    <w:p w14:paraId="57D82068" w14:textId="77777777" w:rsidR="004574F7" w:rsidRPr="003241C9" w:rsidRDefault="004574F7" w:rsidP="004574F7">
      <w:pPr>
        <w:spacing w:after="0" w:line="360" w:lineRule="auto"/>
        <w:ind w:firstLine="715"/>
        <w:jc w:val="both"/>
        <w:rPr>
          <w:rFonts w:ascii="Bookman Old Style" w:hAnsi="Bookman Old Style"/>
        </w:rPr>
      </w:pPr>
      <w:r w:rsidRPr="003241C9">
        <w:rPr>
          <w:rFonts w:ascii="Bookman Old Style" w:hAnsi="Bookman Old Style" w:cs="Times New Roman"/>
          <w:color w:val="000000"/>
          <w:sz w:val="24"/>
          <w:szCs w:val="24"/>
        </w:rPr>
        <w:t>Hence</w:t>
      </w:r>
      <w:r>
        <w:rPr>
          <w:rFonts w:ascii="Bookman Old Style" w:hAnsi="Bookman Old Style" w:cs="Times New Roman"/>
          <w:color w:val="000000"/>
          <w:sz w:val="24"/>
          <w:szCs w:val="24"/>
        </w:rPr>
        <w:t>,</w:t>
      </w:r>
      <w:r w:rsidRPr="003241C9">
        <w:rPr>
          <w:rFonts w:ascii="Bookman Old Style" w:hAnsi="Bookman Old Style" w:cs="Times New Roman"/>
          <w:color w:val="000000"/>
          <w:sz w:val="24"/>
          <w:szCs w:val="24"/>
        </w:rPr>
        <w:t xml:space="preserve"> the consumer has to provide capacitors of adequate rating as per the schedule and it is the duty of the Licensee to ensure the same at the time of connection and at the time of enhancement of connected load, if any at a later date in case of demand based billed consumers.</w:t>
      </w:r>
    </w:p>
    <w:p w14:paraId="196018D7" w14:textId="791CFCC1" w:rsidR="004574F7" w:rsidRPr="004353BA" w:rsidRDefault="004574F7" w:rsidP="004574F7">
      <w:pPr>
        <w:spacing w:before="36" w:after="0" w:line="360" w:lineRule="auto"/>
        <w:jc w:val="both"/>
        <w:rPr>
          <w:rFonts w:ascii="Bookman Old Style" w:hAnsi="Bookman Old Style"/>
        </w:rPr>
      </w:pPr>
      <w:r>
        <w:rPr>
          <w:rFonts w:ascii="Bookman Old Style" w:hAnsi="Bookman Old Style" w:cs="Times New Roman"/>
          <w:color w:val="000000"/>
          <w:sz w:val="24"/>
          <w:szCs w:val="24"/>
        </w:rPr>
        <w:tab/>
      </w:r>
      <w:r w:rsidRPr="003241C9">
        <w:rPr>
          <w:rFonts w:ascii="Bookman Old Style" w:hAnsi="Bookman Old Style" w:cs="Times New Roman"/>
          <w:color w:val="000000"/>
          <w:sz w:val="24"/>
          <w:szCs w:val="24"/>
        </w:rPr>
        <w:t xml:space="preserve">After the roll out of billing software, monthly/bi-monthly electricity bills </w:t>
      </w:r>
      <w:r w:rsidRPr="003241C9">
        <w:rPr>
          <w:rFonts w:ascii="Bookman Old Style" w:hAnsi="Bookman Old Style"/>
        </w:rPr>
        <w:br/>
      </w:r>
      <w:r w:rsidRPr="003241C9">
        <w:rPr>
          <w:rFonts w:ascii="Bookman Old Style" w:hAnsi="Bookman Old Style" w:cs="Times New Roman"/>
          <w:color w:val="000000"/>
          <w:sz w:val="24"/>
          <w:szCs w:val="24"/>
        </w:rPr>
        <w:t xml:space="preserve">are being given with the aid of hand-held device called PDI. </w:t>
      </w:r>
      <w:r>
        <w:rPr>
          <w:rFonts w:ascii="Bookman Old Style" w:hAnsi="Bookman Old Style" w:cs="Times New Roman"/>
          <w:color w:val="000000"/>
          <w:sz w:val="24"/>
          <w:szCs w:val="24"/>
        </w:rPr>
        <w:t xml:space="preserve"> </w:t>
      </w:r>
      <w:r w:rsidRPr="003241C9">
        <w:rPr>
          <w:rFonts w:ascii="Bookman Old Style" w:hAnsi="Bookman Old Style" w:cs="Times New Roman"/>
          <w:color w:val="000000"/>
          <w:sz w:val="24"/>
          <w:szCs w:val="24"/>
        </w:rPr>
        <w:t>Hence</w:t>
      </w:r>
      <w:r>
        <w:rPr>
          <w:rFonts w:ascii="Bookman Old Style" w:hAnsi="Bookman Old Style" w:cs="Times New Roman"/>
          <w:color w:val="000000"/>
          <w:sz w:val="24"/>
          <w:szCs w:val="24"/>
        </w:rPr>
        <w:t>,</w:t>
      </w:r>
      <w:r w:rsidRPr="003241C9">
        <w:rPr>
          <w:rFonts w:ascii="Bookman Old Style" w:hAnsi="Bookman Old Style" w:cs="Times New Roman"/>
          <w:color w:val="000000"/>
          <w:sz w:val="24"/>
          <w:szCs w:val="24"/>
        </w:rPr>
        <w:t xml:space="preserve"> there</w:t>
      </w:r>
      <w:r>
        <w:rPr>
          <w:rFonts w:ascii="Bookman Old Style" w:hAnsi="Bookman Old Style" w:cs="Times New Roman"/>
          <w:color w:val="000000"/>
          <w:sz w:val="24"/>
          <w:szCs w:val="24"/>
        </w:rPr>
        <w:t xml:space="preserve"> </w:t>
      </w:r>
      <w:r w:rsidRPr="004353BA">
        <w:rPr>
          <w:rFonts w:ascii="Bookman Old Style" w:hAnsi="Bookman Old Style" w:cs="Times New Roman"/>
          <w:color w:val="000000"/>
          <w:sz w:val="24"/>
          <w:szCs w:val="24"/>
        </w:rPr>
        <w:t>is limitation in providing entire billing details in the invoices given through PDI. In order to redress the grievances of the consumer’s, detailed bills are provided in the official website of KSEB Ltd.  The average power factor has been included in the disputed bills. In short, it is a case of "escaped assessment" and not a case of "deficiency in service"</w:t>
      </w:r>
    </w:p>
    <w:p w14:paraId="16A5A888" w14:textId="6C9FCEC1" w:rsidR="004574F7" w:rsidRPr="004353BA" w:rsidRDefault="004574F7" w:rsidP="004574F7">
      <w:pPr>
        <w:tabs>
          <w:tab w:val="left" w:pos="0"/>
        </w:tabs>
        <w:spacing w:after="0" w:line="360" w:lineRule="auto"/>
        <w:ind w:right="38"/>
        <w:jc w:val="both"/>
        <w:rPr>
          <w:rFonts w:ascii="Bookman Old Style" w:hAnsi="Bookman Old Style"/>
        </w:rPr>
      </w:pPr>
      <w:r>
        <w:rPr>
          <w:rFonts w:ascii="Bookman Old Style" w:hAnsi="Bookman Old Style" w:cs="Times New Roman"/>
          <w:color w:val="000000"/>
          <w:sz w:val="24"/>
          <w:szCs w:val="24"/>
        </w:rPr>
        <w:tab/>
      </w:r>
      <w:r w:rsidRPr="004353BA">
        <w:rPr>
          <w:rFonts w:ascii="Bookman Old Style" w:hAnsi="Bookman Old Style" w:cs="Times New Roman"/>
          <w:color w:val="000000"/>
          <w:sz w:val="24"/>
          <w:szCs w:val="24"/>
        </w:rPr>
        <w:t xml:space="preserve">It is worthwhile to know that the amount on account of limiting the assessment period will be a pass through in the next tariff revision </w:t>
      </w:r>
      <w:r w:rsidRPr="004353BA">
        <w:rPr>
          <w:rFonts w:ascii="Bookman Old Style" w:hAnsi="Bookman Old Style"/>
        </w:rPr>
        <w:br/>
      </w:r>
      <w:r w:rsidRPr="004353BA">
        <w:rPr>
          <w:rFonts w:ascii="Bookman Old Style" w:hAnsi="Bookman Old Style" w:cs="Times New Roman"/>
          <w:color w:val="000000"/>
          <w:sz w:val="24"/>
          <w:szCs w:val="24"/>
        </w:rPr>
        <w:t>exercise, since the annual account for the financial year</w:t>
      </w:r>
      <w:r>
        <w:rPr>
          <w:rFonts w:ascii="Bookman Old Style" w:hAnsi="Bookman Old Style" w:cs="Times New Roman"/>
          <w:color w:val="000000"/>
          <w:sz w:val="24"/>
          <w:szCs w:val="24"/>
        </w:rPr>
        <w:t>s</w:t>
      </w:r>
      <w:r w:rsidRPr="004353BA">
        <w:rPr>
          <w:rFonts w:ascii="Bookman Old Style" w:hAnsi="Bookman Old Style" w:cs="Times New Roman"/>
          <w:color w:val="000000"/>
          <w:sz w:val="24"/>
          <w:szCs w:val="24"/>
        </w:rPr>
        <w:t xml:space="preserve"> 2019-20 and </w:t>
      </w:r>
      <w:r w:rsidRPr="004353BA">
        <w:rPr>
          <w:rFonts w:ascii="Bookman Old Style" w:hAnsi="Bookman Old Style"/>
        </w:rPr>
        <w:br/>
      </w:r>
      <w:r w:rsidRPr="004353BA">
        <w:rPr>
          <w:rFonts w:ascii="Bookman Old Style" w:hAnsi="Bookman Old Style" w:cs="Times New Roman"/>
          <w:color w:val="000000"/>
          <w:sz w:val="24"/>
          <w:szCs w:val="24"/>
        </w:rPr>
        <w:t>2020-21 ha</w:t>
      </w:r>
      <w:r>
        <w:rPr>
          <w:rFonts w:ascii="Bookman Old Style" w:hAnsi="Bookman Old Style" w:cs="Times New Roman"/>
          <w:color w:val="000000"/>
          <w:sz w:val="24"/>
          <w:szCs w:val="24"/>
        </w:rPr>
        <w:t>ve</w:t>
      </w:r>
      <w:r w:rsidRPr="004353BA">
        <w:rPr>
          <w:rFonts w:ascii="Bookman Old Style" w:hAnsi="Bookman Old Style" w:cs="Times New Roman"/>
          <w:color w:val="000000"/>
          <w:sz w:val="24"/>
          <w:szCs w:val="24"/>
        </w:rPr>
        <w:t xml:space="preserve"> already been finalized and the audit certificate has been </w:t>
      </w:r>
      <w:r w:rsidRPr="004353BA">
        <w:rPr>
          <w:rFonts w:ascii="Bookman Old Style" w:hAnsi="Bookman Old Style"/>
        </w:rPr>
        <w:br/>
      </w:r>
      <w:r w:rsidRPr="004353BA">
        <w:rPr>
          <w:rFonts w:ascii="Bookman Old Style" w:hAnsi="Bookman Old Style" w:cs="Times New Roman"/>
          <w:color w:val="000000"/>
          <w:sz w:val="24"/>
          <w:szCs w:val="24"/>
        </w:rPr>
        <w:t xml:space="preserve">obtained. </w:t>
      </w:r>
    </w:p>
    <w:p w14:paraId="2B48BC46" w14:textId="77777777" w:rsidR="00D56688" w:rsidRDefault="00D56688" w:rsidP="00D56688">
      <w:pPr>
        <w:pStyle w:val="NoSpacing"/>
        <w:spacing w:after="120" w:line="360" w:lineRule="auto"/>
        <w:ind w:firstLine="720"/>
        <w:jc w:val="both"/>
        <w:rPr>
          <w:rFonts w:ascii="Bookman Old Style" w:hAnsi="Bookman Old Style"/>
          <w:sz w:val="24"/>
          <w:szCs w:val="24"/>
          <w:lang w:val="en-IN" w:bidi="ml-IN"/>
        </w:rPr>
      </w:pPr>
      <w:r>
        <w:rPr>
          <w:rFonts w:ascii="Bookman Old Style" w:hAnsi="Bookman Old Style"/>
          <w:sz w:val="24"/>
          <w:szCs w:val="24"/>
          <w:lang w:val="en-IN" w:bidi="ml-IN"/>
        </w:rPr>
        <w:t>According to the review respondent, the statement is as follow:</w:t>
      </w:r>
    </w:p>
    <w:p w14:paraId="206B9196" w14:textId="5BE26B68" w:rsidR="00D56688" w:rsidRDefault="00D56688" w:rsidP="00D56688">
      <w:pPr>
        <w:pStyle w:val="NoSpacing"/>
        <w:spacing w:after="120" w:line="360" w:lineRule="auto"/>
        <w:jc w:val="both"/>
        <w:rPr>
          <w:rFonts w:ascii="Bookman Old Style" w:hAnsi="Bookman Old Style"/>
          <w:sz w:val="24"/>
          <w:szCs w:val="24"/>
          <w:lang w:val="en-IN" w:bidi="ml-IN"/>
        </w:rPr>
      </w:pPr>
      <w:r>
        <w:rPr>
          <w:rFonts w:ascii="Bookman Old Style" w:hAnsi="Bookman Old Style"/>
          <w:sz w:val="24"/>
          <w:szCs w:val="24"/>
          <w:lang w:val="en-IN" w:bidi="ml-IN"/>
        </w:rPr>
        <w:tab/>
        <w:t>The respondent/review petitioner filed the review petition RP-001/2022 against the order of Electricity Ombudsman in Appeal Petition P-059/2021.  The version of the review petition</w:t>
      </w:r>
      <w:r w:rsidR="00E0712A">
        <w:rPr>
          <w:rFonts w:ascii="Bookman Old Style" w:hAnsi="Bookman Old Style"/>
          <w:sz w:val="24"/>
          <w:szCs w:val="24"/>
          <w:lang w:val="en-IN" w:bidi="ml-IN"/>
        </w:rPr>
        <w:t>er</w:t>
      </w:r>
      <w:r>
        <w:rPr>
          <w:rFonts w:ascii="Bookman Old Style" w:hAnsi="Bookman Old Style"/>
          <w:sz w:val="24"/>
          <w:szCs w:val="24"/>
          <w:lang w:val="en-IN" w:bidi="ml-IN"/>
        </w:rPr>
        <w:t xml:space="preserve"> is against the order of Kerala State Electricity Regulatory Commission.  The review respondent had requested for the refund of the penalty realized by the review petitioner </w:t>
      </w:r>
      <w:r w:rsidR="00E0712A">
        <w:rPr>
          <w:rFonts w:ascii="Bookman Old Style" w:hAnsi="Bookman Old Style"/>
          <w:sz w:val="24"/>
          <w:szCs w:val="24"/>
          <w:lang w:val="en-IN" w:bidi="ml-IN"/>
        </w:rPr>
        <w:t xml:space="preserve">by filing </w:t>
      </w:r>
      <w:r>
        <w:rPr>
          <w:rFonts w:ascii="Bookman Old Style" w:hAnsi="Bookman Old Style"/>
          <w:sz w:val="24"/>
          <w:szCs w:val="24"/>
          <w:lang w:val="en-IN" w:bidi="ml-IN"/>
        </w:rPr>
        <w:t>the Appeal Petition P-059/2021.  The main complaint of the review respondent was about the imposing of penalty without obeying rules and regulations.  The request made by the review respondent is to dismiss the review petition since the review petitioner realized the amount without issuing notice as per General Conditions 5 of Part A – Low Tension (LT) Tariff.</w:t>
      </w:r>
    </w:p>
    <w:p w14:paraId="59BCFE42" w14:textId="32E64E8D" w:rsidR="00D56688" w:rsidRPr="000B3601" w:rsidRDefault="00D56688" w:rsidP="00D56688">
      <w:pPr>
        <w:autoSpaceDE w:val="0"/>
        <w:autoSpaceDN w:val="0"/>
        <w:adjustRightInd w:val="0"/>
        <w:spacing w:line="360" w:lineRule="auto"/>
        <w:ind w:firstLine="720"/>
        <w:jc w:val="both"/>
        <w:rPr>
          <w:rFonts w:ascii="Bookman Old Style" w:hAnsi="Bookman Old Style" w:cs="Bookman Old Style"/>
          <w:sz w:val="24"/>
          <w:szCs w:val="24"/>
        </w:rPr>
      </w:pPr>
      <w:r w:rsidRPr="000B3601">
        <w:rPr>
          <w:rFonts w:ascii="Bookman Old Style" w:hAnsi="Bookman Old Style"/>
          <w:sz w:val="24"/>
          <w:szCs w:val="24"/>
          <w:lang w:val="en-IN" w:bidi="ml-IN"/>
        </w:rPr>
        <w:t xml:space="preserve">An online hearing was conducted </w:t>
      </w:r>
      <w:r w:rsidRPr="000B3601">
        <w:rPr>
          <w:rFonts w:ascii="Bookman Old Style" w:hAnsi="Bookman Old Style" w:cs="Bookman Old Style"/>
          <w:sz w:val="24"/>
          <w:szCs w:val="24"/>
        </w:rPr>
        <w:t xml:space="preserve">on </w:t>
      </w:r>
      <w:r w:rsidR="00C61EFF">
        <w:rPr>
          <w:rFonts w:ascii="Bookman Old Style" w:hAnsi="Bookman Old Style" w:cs="Bookman Old Style"/>
          <w:sz w:val="24"/>
          <w:szCs w:val="24"/>
        </w:rPr>
        <w:t>16</w:t>
      </w:r>
      <w:r w:rsidRPr="000B3601">
        <w:rPr>
          <w:rFonts w:ascii="Bookman Old Style" w:hAnsi="Bookman Old Style" w:cs="Bookman Old Style"/>
          <w:sz w:val="24"/>
          <w:szCs w:val="24"/>
        </w:rPr>
        <w:t>-0</w:t>
      </w:r>
      <w:r w:rsidR="00C61EFF">
        <w:rPr>
          <w:rFonts w:ascii="Bookman Old Style" w:hAnsi="Bookman Old Style" w:cs="Bookman Old Style"/>
          <w:sz w:val="24"/>
          <w:szCs w:val="24"/>
        </w:rPr>
        <w:t>3</w:t>
      </w:r>
      <w:r w:rsidRPr="000B3601">
        <w:rPr>
          <w:rFonts w:ascii="Bookman Old Style" w:hAnsi="Bookman Old Style" w:cs="Bookman Old Style"/>
          <w:sz w:val="24"/>
          <w:szCs w:val="24"/>
        </w:rPr>
        <w:t xml:space="preserve">-2022 with prior intimation to both the Review Petitioner and Review Respondent. </w:t>
      </w:r>
      <w:r w:rsidR="00C61EFF">
        <w:rPr>
          <w:rFonts w:ascii="Bookman Old Style" w:hAnsi="Bookman Old Style" w:cs="Bookman Old Style"/>
          <w:sz w:val="24"/>
          <w:szCs w:val="24"/>
        </w:rPr>
        <w:t xml:space="preserve"> </w:t>
      </w:r>
      <w:r w:rsidRPr="000B3601">
        <w:rPr>
          <w:rFonts w:ascii="Bookman Old Style" w:hAnsi="Bookman Old Style" w:cs="Bookman Old Style"/>
          <w:sz w:val="24"/>
          <w:szCs w:val="24"/>
        </w:rPr>
        <w:t>Sri. K.</w:t>
      </w:r>
      <w:r>
        <w:rPr>
          <w:rFonts w:ascii="Bookman Old Style" w:hAnsi="Bookman Old Style" w:cs="Bookman Old Style"/>
          <w:sz w:val="24"/>
          <w:szCs w:val="24"/>
        </w:rPr>
        <w:t>P</w:t>
      </w:r>
      <w:r w:rsidRPr="000B3601">
        <w:rPr>
          <w:rFonts w:ascii="Bookman Old Style" w:hAnsi="Bookman Old Style" w:cs="Bookman Old Style"/>
          <w:sz w:val="24"/>
          <w:szCs w:val="24"/>
        </w:rPr>
        <w:t xml:space="preserve">. </w:t>
      </w:r>
      <w:proofErr w:type="spellStart"/>
      <w:r>
        <w:rPr>
          <w:rFonts w:ascii="Bookman Old Style" w:hAnsi="Bookman Old Style" w:cs="Bookman Old Style"/>
          <w:sz w:val="24"/>
          <w:szCs w:val="24"/>
        </w:rPr>
        <w:t>Sunilkumar</w:t>
      </w:r>
      <w:proofErr w:type="spellEnd"/>
      <w:r w:rsidRPr="000B3601">
        <w:rPr>
          <w:rFonts w:ascii="Bookman Old Style" w:hAnsi="Bookman Old Style" w:cs="Bookman Old Style"/>
          <w:sz w:val="24"/>
          <w:szCs w:val="24"/>
        </w:rPr>
        <w:t xml:space="preserve">, Assistant </w:t>
      </w:r>
      <w:r w:rsidRPr="000B3601">
        <w:rPr>
          <w:rFonts w:ascii="Bookman Old Style" w:hAnsi="Bookman Old Style" w:cs="Bookman Old Style"/>
          <w:sz w:val="24"/>
          <w:szCs w:val="24"/>
        </w:rPr>
        <w:lastRenderedPageBreak/>
        <w:t xml:space="preserve">Executive Engineer, Electrical Sub Division, </w:t>
      </w:r>
      <w:proofErr w:type="spellStart"/>
      <w:r>
        <w:rPr>
          <w:rFonts w:ascii="Bookman Old Style" w:hAnsi="Bookman Old Style" w:cs="Bookman Old Style"/>
          <w:sz w:val="24"/>
          <w:szCs w:val="24"/>
        </w:rPr>
        <w:t>Pinarayi</w:t>
      </w:r>
      <w:proofErr w:type="spellEnd"/>
      <w:r w:rsidRPr="000B3601">
        <w:rPr>
          <w:rFonts w:ascii="Bookman Old Style" w:hAnsi="Bookman Old Style" w:cs="Bookman Old Style"/>
          <w:sz w:val="24"/>
          <w:szCs w:val="24"/>
        </w:rPr>
        <w:t xml:space="preserve"> attended the hearing for the review </w:t>
      </w:r>
      <w:r>
        <w:rPr>
          <w:rFonts w:ascii="Bookman Old Style" w:hAnsi="Bookman Old Style" w:cs="Bookman Old Style"/>
          <w:sz w:val="24"/>
          <w:szCs w:val="24"/>
        </w:rPr>
        <w:t>petitioner and</w:t>
      </w:r>
      <w:r w:rsidRPr="000B3601">
        <w:rPr>
          <w:rFonts w:ascii="Bookman Old Style" w:hAnsi="Bookman Old Style" w:cs="Bookman Old Style"/>
          <w:sz w:val="24"/>
          <w:szCs w:val="24"/>
        </w:rPr>
        <w:t xml:space="preserve">  Sri. </w:t>
      </w:r>
      <w:r>
        <w:rPr>
          <w:rFonts w:ascii="Bookman Old Style" w:hAnsi="Bookman Old Style" w:cs="Bookman Old Style"/>
          <w:sz w:val="24"/>
          <w:szCs w:val="24"/>
        </w:rPr>
        <w:t xml:space="preserve">P.K. </w:t>
      </w:r>
      <w:proofErr w:type="spellStart"/>
      <w:r>
        <w:rPr>
          <w:rFonts w:ascii="Bookman Old Style" w:hAnsi="Bookman Old Style" w:cs="Bookman Old Style"/>
          <w:sz w:val="24"/>
          <w:szCs w:val="24"/>
        </w:rPr>
        <w:t>Purushothaman</w:t>
      </w:r>
      <w:proofErr w:type="spellEnd"/>
      <w:r w:rsidRPr="000B3601">
        <w:rPr>
          <w:rFonts w:ascii="Bookman Old Style" w:hAnsi="Bookman Old Style" w:cs="Bookman Old Style"/>
          <w:sz w:val="24"/>
          <w:szCs w:val="24"/>
        </w:rPr>
        <w:t xml:space="preserve"> attended the hearing</w:t>
      </w:r>
      <w:r>
        <w:rPr>
          <w:rFonts w:ascii="Bookman Old Style" w:hAnsi="Bookman Old Style" w:cs="Bookman Old Style"/>
          <w:sz w:val="24"/>
          <w:szCs w:val="24"/>
        </w:rPr>
        <w:t xml:space="preserve"> for the review respondent</w:t>
      </w:r>
      <w:r w:rsidRPr="000B3601">
        <w:rPr>
          <w:rFonts w:ascii="Bookman Old Style" w:hAnsi="Bookman Old Style" w:cs="Bookman Old Style"/>
          <w:sz w:val="24"/>
          <w:szCs w:val="24"/>
        </w:rPr>
        <w:t xml:space="preserve">.  On examining the </w:t>
      </w:r>
      <w:r>
        <w:rPr>
          <w:rFonts w:ascii="Bookman Old Style" w:hAnsi="Bookman Old Style" w:cs="Bookman Old Style"/>
          <w:sz w:val="24"/>
          <w:szCs w:val="24"/>
        </w:rPr>
        <w:t xml:space="preserve">review </w:t>
      </w:r>
      <w:r w:rsidRPr="000B3601">
        <w:rPr>
          <w:rFonts w:ascii="Bookman Old Style" w:hAnsi="Bookman Old Style" w:cs="Bookman Old Style"/>
          <w:sz w:val="24"/>
          <w:szCs w:val="24"/>
        </w:rPr>
        <w:t xml:space="preserve">petition, the counter statement of the </w:t>
      </w:r>
      <w:r w:rsidR="00510B4F">
        <w:rPr>
          <w:rFonts w:ascii="Bookman Old Style" w:hAnsi="Bookman Old Style" w:cs="Bookman Old Style"/>
          <w:sz w:val="24"/>
          <w:szCs w:val="24"/>
        </w:rPr>
        <w:t xml:space="preserve">review </w:t>
      </w:r>
      <w:r w:rsidRPr="000B3601">
        <w:rPr>
          <w:rFonts w:ascii="Bookman Old Style" w:hAnsi="Bookman Old Style" w:cs="Bookman Old Style"/>
          <w:sz w:val="24"/>
          <w:szCs w:val="24"/>
        </w:rPr>
        <w:t>respondent, the documents attached and the arguments made during the hearing and considering all the facts and circumstances of the case, this Authority comes to the following findings and conclusions leading to the decisions thereof.</w:t>
      </w:r>
    </w:p>
    <w:p w14:paraId="427310DA" w14:textId="77777777" w:rsidR="00D56688" w:rsidRDefault="00D56688" w:rsidP="00D56688">
      <w:pPr>
        <w:pStyle w:val="NoSpacing"/>
        <w:spacing w:after="120" w:line="360" w:lineRule="auto"/>
        <w:jc w:val="both"/>
        <w:rPr>
          <w:rFonts w:ascii="Bookman Old Style" w:hAnsi="Bookman Old Style"/>
          <w:sz w:val="24"/>
          <w:szCs w:val="24"/>
          <w:lang w:val="en-IN" w:bidi="ml-IN"/>
        </w:rPr>
      </w:pPr>
      <w:r>
        <w:rPr>
          <w:rFonts w:ascii="Bookman Old Style" w:hAnsi="Bookman Old Style"/>
          <w:sz w:val="24"/>
          <w:szCs w:val="24"/>
          <w:lang w:val="en-IN" w:bidi="ml-IN"/>
        </w:rPr>
        <w:tab/>
        <w:t xml:space="preserve">As per the review petitioner, the power factor incentive is provided for maintaining a better power factor (above 0.95) and penalty is being imposed on low power factor.  Bing a display parameter (Average PF) on the meter installed in premises, the consumer can view/watch the same and appropriate remedial measures can be taken in the case of low power factor. Also, detailed bills are provided in the official website of KSEB Ltd., in which all charges including power factor penalty are included in the bills. The general conditions “3,4,5 &amp; 6 Part-A-Low Tension (LT) Tariff” of the tariff schedule is not applicable (not mandatory) to LT IV Industrial/Agriculture consumers having connected load above 20 kW billed under </w:t>
      </w:r>
      <w:proofErr w:type="spellStart"/>
      <w:r>
        <w:rPr>
          <w:rFonts w:ascii="Bookman Old Style" w:hAnsi="Bookman Old Style"/>
          <w:sz w:val="24"/>
          <w:szCs w:val="24"/>
          <w:lang w:val="en-IN" w:bidi="ml-IN"/>
        </w:rPr>
        <w:t>ToD</w:t>
      </w:r>
      <w:proofErr w:type="spellEnd"/>
      <w:r>
        <w:rPr>
          <w:rFonts w:ascii="Bookman Old Style" w:hAnsi="Bookman Old Style"/>
          <w:sz w:val="24"/>
          <w:szCs w:val="24"/>
          <w:lang w:val="en-IN" w:bidi="ml-IN"/>
        </w:rPr>
        <w:t xml:space="preserve"> tariff.</w:t>
      </w:r>
    </w:p>
    <w:p w14:paraId="535A6418" w14:textId="1310A282" w:rsidR="00D56688" w:rsidRDefault="00D56688" w:rsidP="00D56688">
      <w:pPr>
        <w:pStyle w:val="NoSpacing"/>
        <w:spacing w:after="120" w:line="360" w:lineRule="auto"/>
        <w:ind w:firstLine="720"/>
        <w:jc w:val="both"/>
        <w:rPr>
          <w:rFonts w:ascii="Bookman Old Style" w:hAnsi="Bookman Old Style"/>
          <w:sz w:val="24"/>
          <w:szCs w:val="24"/>
          <w:lang w:val="en-IN" w:bidi="ml-IN"/>
        </w:rPr>
      </w:pPr>
      <w:r>
        <w:rPr>
          <w:rFonts w:ascii="Bookman Old Style" w:hAnsi="Bookman Old Style"/>
          <w:sz w:val="24"/>
          <w:szCs w:val="24"/>
          <w:lang w:val="en-IN" w:bidi="ml-IN"/>
        </w:rPr>
        <w:tab/>
        <w:t>In this case, the view of this Authority was there are lapses on the part of appellant in maintaining the rated values of capacitors to avoid power factor disincentives and lapses on the part of respondent to intimate the subject of low power factor to the appellant as per rules.  As such, it was ordered in Appeal Petition No. P0</w:t>
      </w:r>
      <w:r w:rsidR="00C61EFF">
        <w:rPr>
          <w:rFonts w:ascii="Bookman Old Style" w:hAnsi="Bookman Old Style"/>
          <w:sz w:val="24"/>
          <w:szCs w:val="24"/>
          <w:lang w:val="en-IN" w:bidi="ml-IN"/>
        </w:rPr>
        <w:t>59</w:t>
      </w:r>
      <w:r>
        <w:rPr>
          <w:rFonts w:ascii="Bookman Old Style" w:hAnsi="Bookman Old Style"/>
          <w:sz w:val="24"/>
          <w:szCs w:val="24"/>
          <w:lang w:val="en-IN" w:bidi="ml-IN"/>
        </w:rPr>
        <w:t>/2021 to refund a portion of power factor disincentive realized by the respondent to the appellant.  The appellant had started replacement of defective capacitors even before the notice of the respondent.</w:t>
      </w:r>
    </w:p>
    <w:p w14:paraId="4DBED1F2" w14:textId="77777777" w:rsidR="00D56688" w:rsidRDefault="00D56688" w:rsidP="00D56688">
      <w:pPr>
        <w:pStyle w:val="NoSpacing"/>
        <w:spacing w:after="120" w:line="360" w:lineRule="auto"/>
        <w:jc w:val="both"/>
        <w:rPr>
          <w:rFonts w:ascii="Bookman Old Style" w:hAnsi="Bookman Old Style"/>
          <w:sz w:val="24"/>
          <w:szCs w:val="24"/>
          <w:lang w:val="en-IN" w:bidi="ml-IN"/>
        </w:rPr>
      </w:pPr>
      <w:r>
        <w:rPr>
          <w:rFonts w:ascii="Bookman Old Style" w:hAnsi="Bookman Old Style"/>
          <w:sz w:val="24"/>
          <w:szCs w:val="24"/>
          <w:lang w:val="en-IN" w:bidi="ml-IN"/>
        </w:rPr>
        <w:tab/>
        <w:t xml:space="preserve">Here the issue arisen on the disincentive for the low power factor.  In the tariff order, it is already mentioned that all LT industrial (both LT IV (A) and LT IV (B) consumers) and LT agricultural consumers shall, for power factor improvement, install static capacitors with ISI certification as specified.  But, the power factor incentive/disincentive will be applicable only to LT industrial consumers under </w:t>
      </w:r>
      <w:proofErr w:type="spellStart"/>
      <w:r>
        <w:rPr>
          <w:rFonts w:ascii="Bookman Old Style" w:hAnsi="Bookman Old Style"/>
          <w:sz w:val="24"/>
          <w:szCs w:val="24"/>
          <w:lang w:val="en-IN" w:bidi="ml-IN"/>
        </w:rPr>
        <w:t>ToD</w:t>
      </w:r>
      <w:proofErr w:type="spellEnd"/>
      <w:r>
        <w:rPr>
          <w:rFonts w:ascii="Bookman Old Style" w:hAnsi="Bookman Old Style"/>
          <w:sz w:val="24"/>
          <w:szCs w:val="24"/>
          <w:lang w:val="en-IN" w:bidi="ml-IN"/>
        </w:rPr>
        <w:t xml:space="preserve"> billing with a connected load of and above 20 kW, HT &amp; EHT consumers for power factor improvement.</w:t>
      </w:r>
    </w:p>
    <w:p w14:paraId="2C8919F7" w14:textId="77777777" w:rsidR="00D56688" w:rsidRDefault="00D56688" w:rsidP="00D56688">
      <w:pPr>
        <w:pStyle w:val="NoSpacing"/>
        <w:spacing w:after="120" w:line="360" w:lineRule="auto"/>
        <w:jc w:val="both"/>
        <w:rPr>
          <w:rFonts w:ascii="Bookman Old Style" w:hAnsi="Bookman Old Style"/>
          <w:sz w:val="24"/>
          <w:szCs w:val="24"/>
          <w:lang w:val="en-IN" w:bidi="ml-IN"/>
        </w:rPr>
      </w:pPr>
      <w:r>
        <w:rPr>
          <w:rFonts w:ascii="Bookman Old Style" w:hAnsi="Bookman Old Style"/>
          <w:sz w:val="24"/>
          <w:szCs w:val="24"/>
          <w:lang w:val="en-IN" w:bidi="ml-IN"/>
        </w:rPr>
        <w:lastRenderedPageBreak/>
        <w:tab/>
        <w:t xml:space="preserve">As such, it does not mean that an inspection in the premises of a consumer is not required where </w:t>
      </w:r>
      <w:proofErr w:type="spellStart"/>
      <w:r>
        <w:rPr>
          <w:rFonts w:ascii="Bookman Old Style" w:hAnsi="Bookman Old Style"/>
          <w:sz w:val="24"/>
          <w:szCs w:val="24"/>
          <w:lang w:val="en-IN" w:bidi="ml-IN"/>
        </w:rPr>
        <w:t>ToD</w:t>
      </w:r>
      <w:proofErr w:type="spellEnd"/>
      <w:r>
        <w:rPr>
          <w:rFonts w:ascii="Bookman Old Style" w:hAnsi="Bookman Old Style"/>
          <w:sz w:val="24"/>
          <w:szCs w:val="24"/>
          <w:lang w:val="en-IN" w:bidi="ml-IN"/>
        </w:rPr>
        <w:t xml:space="preserve"> meters are installed or monitoring of data like power factor maintained monthly.  This Authority of the view that power factor of the industrial and other applicable categories of the consumers can be improved by monitoring the data available to the Licensee.</w:t>
      </w:r>
    </w:p>
    <w:p w14:paraId="22B5E589" w14:textId="77777777" w:rsidR="00D56688" w:rsidRPr="00464874" w:rsidRDefault="00D56688" w:rsidP="00D56688">
      <w:pPr>
        <w:autoSpaceDE w:val="0"/>
        <w:autoSpaceDN w:val="0"/>
        <w:adjustRightInd w:val="0"/>
        <w:spacing w:line="360" w:lineRule="auto"/>
        <w:ind w:firstLine="720"/>
        <w:jc w:val="both"/>
        <w:rPr>
          <w:rFonts w:ascii="Bookman Old Style" w:hAnsi="Bookman Old Style" w:cs="Bookman Old Style"/>
          <w:sz w:val="24"/>
          <w:szCs w:val="24"/>
        </w:rPr>
      </w:pPr>
      <w:r w:rsidRPr="00464874">
        <w:rPr>
          <w:rFonts w:ascii="Bookman Old Style" w:hAnsi="Bookman Old Style" w:cs="Bookman Old Style"/>
          <w:sz w:val="24"/>
          <w:szCs w:val="24"/>
        </w:rPr>
        <w:t>In the review petition nothing is pointed out, which escaped from the notice of this Authority while disposing the appeal petition.  The review jurisdiction is limited to rectify a mistake or an error which is apparent on the face of re</w:t>
      </w:r>
      <w:r>
        <w:rPr>
          <w:rFonts w:ascii="Bookman Old Style" w:hAnsi="Bookman Old Style" w:cs="Bookman Old Style"/>
          <w:sz w:val="24"/>
          <w:szCs w:val="24"/>
        </w:rPr>
        <w:t>cords</w:t>
      </w:r>
      <w:r w:rsidRPr="00464874">
        <w:rPr>
          <w:rFonts w:ascii="Bookman Old Style" w:hAnsi="Bookman Old Style" w:cs="Bookman Old Style"/>
          <w:sz w:val="24"/>
          <w:szCs w:val="24"/>
        </w:rPr>
        <w:t xml:space="preserve"> and it cannot be used as appellate jurisdiction.  In this background, this Authority did not find any reason to intervene the order already issued.</w:t>
      </w:r>
    </w:p>
    <w:p w14:paraId="37337337" w14:textId="77777777" w:rsidR="00D56688" w:rsidRDefault="00D56688" w:rsidP="00D56688">
      <w:pPr>
        <w:pStyle w:val="NoSpacing"/>
        <w:rPr>
          <w:rFonts w:ascii="Bookman Old Style" w:hAnsi="Bookman Old Style"/>
          <w:sz w:val="24"/>
          <w:szCs w:val="24"/>
          <w:lang w:val="en-IN" w:bidi="ml-IN"/>
        </w:rPr>
      </w:pPr>
    </w:p>
    <w:p w14:paraId="31B4852C" w14:textId="77777777" w:rsidR="00D56688" w:rsidRPr="00A655BD" w:rsidRDefault="00D56688" w:rsidP="00D56688">
      <w:pPr>
        <w:autoSpaceDE w:val="0"/>
        <w:autoSpaceDN w:val="0"/>
        <w:adjustRightInd w:val="0"/>
        <w:jc w:val="both"/>
        <w:rPr>
          <w:rFonts w:ascii="Bookman Old Style" w:hAnsi="Bookman Old Style" w:cs="Arial"/>
          <w:b/>
          <w:color w:val="262626" w:themeColor="text1" w:themeTint="D9"/>
          <w:sz w:val="24"/>
          <w:szCs w:val="24"/>
          <w:u w:val="single"/>
        </w:rPr>
      </w:pPr>
      <w:r w:rsidRPr="00A655BD">
        <w:rPr>
          <w:rFonts w:ascii="Bookman Old Style" w:hAnsi="Bookman Old Style" w:cs="Arial"/>
          <w:b/>
          <w:color w:val="262626" w:themeColor="text1" w:themeTint="D9"/>
          <w:sz w:val="24"/>
          <w:szCs w:val="24"/>
          <w:u w:val="single"/>
        </w:rPr>
        <w:t>Decision</w:t>
      </w:r>
    </w:p>
    <w:p w14:paraId="3B0A2DDF" w14:textId="6F0F2714" w:rsidR="0054554C" w:rsidRDefault="000A41B1" w:rsidP="00D56688">
      <w:pPr>
        <w:widowControl w:val="0"/>
        <w:autoSpaceDE w:val="0"/>
        <w:autoSpaceDN w:val="0"/>
        <w:adjustRightInd w:val="0"/>
        <w:spacing w:line="360" w:lineRule="auto"/>
        <w:ind w:firstLine="720"/>
        <w:jc w:val="both"/>
        <w:rPr>
          <w:rFonts w:ascii="Bookman Old Style" w:hAnsi="Bookman Old Style" w:cs="Bookman Old Style"/>
          <w:sz w:val="24"/>
          <w:szCs w:val="24"/>
          <w:lang w:val="en"/>
        </w:rPr>
      </w:pPr>
      <w:r>
        <w:rPr>
          <w:rFonts w:ascii="Bookman Old Style" w:hAnsi="Bookman Old Style" w:cs="Bookman Old Style"/>
          <w:sz w:val="24"/>
          <w:szCs w:val="24"/>
          <w:lang w:val="en"/>
        </w:rPr>
        <w:t>In view of the above discussions, I hold that review petition is not maintainable and hence, rejected.</w:t>
      </w:r>
    </w:p>
    <w:p w14:paraId="1A6DBDA1" w14:textId="77777777" w:rsidR="00D56688" w:rsidRPr="00A655BD" w:rsidRDefault="00D56688" w:rsidP="00D56688">
      <w:pPr>
        <w:widowControl w:val="0"/>
        <w:autoSpaceDE w:val="0"/>
        <w:autoSpaceDN w:val="0"/>
        <w:adjustRightInd w:val="0"/>
        <w:spacing w:after="120" w:line="360" w:lineRule="auto"/>
        <w:ind w:firstLine="720"/>
        <w:jc w:val="both"/>
        <w:rPr>
          <w:rFonts w:ascii="Bookman Old Style" w:hAnsi="Bookman Old Style" w:cs="Bookman Old Style"/>
          <w:sz w:val="24"/>
          <w:szCs w:val="24"/>
          <w:lang w:val="en"/>
        </w:rPr>
      </w:pPr>
      <w:r w:rsidRPr="00A655BD">
        <w:rPr>
          <w:rFonts w:ascii="Bookman Old Style" w:hAnsi="Bookman Old Style" w:cs="Bookman Old Style"/>
          <w:sz w:val="24"/>
          <w:szCs w:val="24"/>
          <w:lang w:val="en"/>
        </w:rPr>
        <w:t>Having decided as above, it is ordered accordingly.</w:t>
      </w:r>
    </w:p>
    <w:p w14:paraId="7F1098C2" w14:textId="77777777" w:rsidR="00D56688" w:rsidRDefault="00D56688" w:rsidP="00D56688">
      <w:pPr>
        <w:pStyle w:val="NoSpacing"/>
        <w:jc w:val="both"/>
        <w:rPr>
          <w:rFonts w:ascii="Bookman Old Style" w:hAnsi="Bookman Old Style"/>
          <w:b/>
          <w:bCs/>
          <w:sz w:val="24"/>
          <w:szCs w:val="24"/>
          <w:lang w:val="en-IN" w:bidi="ml-IN"/>
        </w:rPr>
      </w:pPr>
    </w:p>
    <w:p w14:paraId="3AC1516C" w14:textId="77777777" w:rsidR="00D56688" w:rsidRDefault="00D56688" w:rsidP="00D56688">
      <w:pPr>
        <w:pStyle w:val="NoSpacing"/>
        <w:jc w:val="right"/>
        <w:rPr>
          <w:rFonts w:ascii="Bookman Old Style" w:hAnsi="Bookman Old Style"/>
          <w:b/>
          <w:bCs/>
          <w:sz w:val="24"/>
          <w:szCs w:val="24"/>
          <w:lang w:val="en-IN" w:bidi="ml-IN"/>
        </w:rPr>
      </w:pPr>
    </w:p>
    <w:p w14:paraId="255D7B52" w14:textId="77777777" w:rsidR="00D56688" w:rsidRDefault="00D56688" w:rsidP="00D56688">
      <w:pPr>
        <w:pStyle w:val="NoSpacing"/>
        <w:jc w:val="right"/>
        <w:rPr>
          <w:rFonts w:ascii="Bookman Old Style" w:hAnsi="Bookman Old Style"/>
          <w:b/>
          <w:bCs/>
          <w:sz w:val="24"/>
          <w:szCs w:val="24"/>
          <w:lang w:val="en-IN" w:bidi="ml-IN"/>
        </w:rPr>
      </w:pPr>
    </w:p>
    <w:p w14:paraId="0E50BF86" w14:textId="77777777" w:rsidR="00D56688" w:rsidRDefault="00D56688" w:rsidP="00D56688">
      <w:pPr>
        <w:pStyle w:val="NoSpacing"/>
        <w:jc w:val="right"/>
        <w:rPr>
          <w:rFonts w:ascii="Bookman Old Style" w:hAnsi="Bookman Old Style"/>
          <w:b/>
          <w:bCs/>
          <w:sz w:val="24"/>
          <w:szCs w:val="24"/>
          <w:lang w:val="en-IN" w:bidi="ml-IN"/>
        </w:rPr>
      </w:pPr>
    </w:p>
    <w:p w14:paraId="4AD03D23" w14:textId="77777777" w:rsidR="00D56688" w:rsidRDefault="00D56688" w:rsidP="00D56688">
      <w:pPr>
        <w:pStyle w:val="NoSpacing"/>
        <w:jc w:val="right"/>
        <w:rPr>
          <w:rFonts w:ascii="Bookman Old Style" w:hAnsi="Bookman Old Style"/>
          <w:b/>
          <w:bCs/>
          <w:sz w:val="24"/>
          <w:szCs w:val="24"/>
          <w:lang w:val="en-IN" w:bidi="ml-IN"/>
        </w:rPr>
      </w:pPr>
      <w:r>
        <w:rPr>
          <w:rFonts w:ascii="Bookman Old Style" w:hAnsi="Bookman Old Style"/>
          <w:b/>
          <w:bCs/>
          <w:sz w:val="24"/>
          <w:szCs w:val="24"/>
          <w:lang w:val="en-IN" w:bidi="ml-IN"/>
        </w:rPr>
        <w:t>ELECTRICITY OMBUDSMAN</w:t>
      </w:r>
    </w:p>
    <w:p w14:paraId="31C6502B" w14:textId="4C45263C" w:rsidR="00D56688" w:rsidRDefault="00D56688" w:rsidP="00D56688">
      <w:pPr>
        <w:pStyle w:val="NoSpacing"/>
        <w:jc w:val="right"/>
        <w:rPr>
          <w:rFonts w:ascii="Bookman Old Style" w:hAnsi="Bookman Old Style"/>
          <w:b/>
          <w:bCs/>
          <w:sz w:val="24"/>
          <w:szCs w:val="24"/>
          <w:lang w:val="en-IN" w:bidi="ml-IN"/>
        </w:rPr>
      </w:pPr>
    </w:p>
    <w:p w14:paraId="13D89B13" w14:textId="77777777" w:rsidR="000A41B1" w:rsidRDefault="000A41B1" w:rsidP="00D56688">
      <w:pPr>
        <w:pStyle w:val="NoSpacing"/>
        <w:jc w:val="right"/>
        <w:rPr>
          <w:rFonts w:ascii="Bookman Old Style" w:hAnsi="Bookman Old Style"/>
          <w:b/>
          <w:bCs/>
          <w:sz w:val="24"/>
          <w:szCs w:val="24"/>
          <w:lang w:val="en-IN" w:bidi="ml-IN"/>
        </w:rPr>
      </w:pPr>
    </w:p>
    <w:p w14:paraId="1FFE3D0B" w14:textId="40D5C61C" w:rsidR="00D56688" w:rsidRPr="008A48C8" w:rsidRDefault="00D56688" w:rsidP="00D56688">
      <w:pPr>
        <w:spacing w:after="120"/>
        <w:rPr>
          <w:rFonts w:ascii="Bookman Old Style" w:hAnsi="Bookman Old Style"/>
          <w:sz w:val="24"/>
          <w:szCs w:val="24"/>
          <w:u w:val="single"/>
        </w:rPr>
      </w:pPr>
      <w:r>
        <w:rPr>
          <w:rFonts w:ascii="Bookman Old Style" w:hAnsi="Bookman Old Style"/>
          <w:sz w:val="24"/>
          <w:szCs w:val="24"/>
          <w:u w:val="single"/>
        </w:rPr>
        <w:t>R.</w:t>
      </w:r>
      <w:r w:rsidRPr="008A48C8">
        <w:rPr>
          <w:rFonts w:ascii="Bookman Old Style" w:hAnsi="Bookman Old Style"/>
          <w:sz w:val="24"/>
          <w:szCs w:val="24"/>
          <w:u w:val="single"/>
        </w:rPr>
        <w:t>P/0</w:t>
      </w:r>
      <w:r>
        <w:rPr>
          <w:rFonts w:ascii="Bookman Old Style" w:hAnsi="Bookman Old Style"/>
          <w:sz w:val="24"/>
          <w:szCs w:val="24"/>
          <w:u w:val="single"/>
        </w:rPr>
        <w:t>0</w:t>
      </w:r>
      <w:r w:rsidR="00C61EFF">
        <w:rPr>
          <w:rFonts w:ascii="Bookman Old Style" w:hAnsi="Bookman Old Style"/>
          <w:sz w:val="24"/>
          <w:szCs w:val="24"/>
          <w:u w:val="single"/>
        </w:rPr>
        <w:t>1</w:t>
      </w:r>
      <w:r w:rsidRPr="008A48C8">
        <w:rPr>
          <w:rFonts w:ascii="Bookman Old Style" w:hAnsi="Bookman Old Style"/>
          <w:sz w:val="24"/>
          <w:szCs w:val="24"/>
          <w:u w:val="single"/>
        </w:rPr>
        <w:t>/202</w:t>
      </w:r>
      <w:r w:rsidR="00C61EFF">
        <w:rPr>
          <w:rFonts w:ascii="Bookman Old Style" w:hAnsi="Bookman Old Style"/>
          <w:sz w:val="24"/>
          <w:szCs w:val="24"/>
          <w:u w:val="single"/>
        </w:rPr>
        <w:t>2</w:t>
      </w:r>
      <w:r>
        <w:rPr>
          <w:rFonts w:ascii="Bookman Old Style" w:hAnsi="Bookman Old Style"/>
          <w:sz w:val="24"/>
          <w:szCs w:val="24"/>
          <w:u w:val="single"/>
        </w:rPr>
        <w:t>/               dated                   .</w:t>
      </w:r>
    </w:p>
    <w:p w14:paraId="7778840B" w14:textId="77777777" w:rsidR="00D56688" w:rsidRDefault="00D56688" w:rsidP="00D56688">
      <w:pPr>
        <w:spacing w:after="120"/>
        <w:rPr>
          <w:rFonts w:ascii="Bookman Old Style" w:hAnsi="Bookman Old Style"/>
          <w:sz w:val="24"/>
          <w:szCs w:val="24"/>
        </w:rPr>
      </w:pPr>
      <w:r w:rsidRPr="00710BAE">
        <w:rPr>
          <w:rFonts w:ascii="Bookman Old Style" w:hAnsi="Bookman Old Style"/>
          <w:sz w:val="24"/>
          <w:szCs w:val="24"/>
          <w:u w:val="single"/>
        </w:rPr>
        <w:t>Delivered to</w:t>
      </w:r>
      <w:r>
        <w:rPr>
          <w:rFonts w:ascii="Bookman Old Style" w:hAnsi="Bookman Old Style"/>
          <w:sz w:val="24"/>
          <w:szCs w:val="24"/>
        </w:rPr>
        <w:t>:</w:t>
      </w:r>
    </w:p>
    <w:p w14:paraId="656E8AE9" w14:textId="77777777" w:rsidR="00D56688" w:rsidRPr="00D42C7F" w:rsidRDefault="00D56688" w:rsidP="00D56688">
      <w:pPr>
        <w:pStyle w:val="NoSpacing"/>
        <w:numPr>
          <w:ilvl w:val="0"/>
          <w:numId w:val="27"/>
        </w:numPr>
        <w:spacing w:after="120"/>
        <w:ind w:left="540" w:hanging="540"/>
        <w:rPr>
          <w:rFonts w:ascii="Bookman Old Style" w:hAnsi="Bookman Old Style"/>
          <w:sz w:val="24"/>
          <w:szCs w:val="24"/>
        </w:rPr>
      </w:pPr>
      <w:r w:rsidRPr="00D42C7F">
        <w:rPr>
          <w:rFonts w:ascii="Bookman Old Style" w:hAnsi="Bookman Old Style"/>
          <w:sz w:val="24"/>
          <w:szCs w:val="24"/>
        </w:rPr>
        <w:t>The Assistant Executive Engineer,</w:t>
      </w:r>
      <w:r>
        <w:rPr>
          <w:rFonts w:ascii="Bookman Old Style" w:hAnsi="Bookman Old Style"/>
          <w:sz w:val="24"/>
          <w:szCs w:val="24"/>
        </w:rPr>
        <w:t xml:space="preserve"> </w:t>
      </w:r>
      <w:r w:rsidRPr="00D42C7F">
        <w:rPr>
          <w:rFonts w:ascii="Bookman Old Style" w:hAnsi="Bookman Old Style"/>
          <w:sz w:val="24"/>
          <w:szCs w:val="24"/>
        </w:rPr>
        <w:t>Electrical Sub Division,</w:t>
      </w:r>
      <w:r>
        <w:rPr>
          <w:rFonts w:ascii="Bookman Old Style" w:hAnsi="Bookman Old Style"/>
          <w:sz w:val="24"/>
          <w:szCs w:val="24"/>
        </w:rPr>
        <w:t xml:space="preserve"> </w:t>
      </w:r>
      <w:r w:rsidRPr="00D42C7F">
        <w:rPr>
          <w:rFonts w:ascii="Bookman Old Style" w:hAnsi="Bookman Old Style"/>
          <w:sz w:val="24"/>
          <w:szCs w:val="24"/>
        </w:rPr>
        <w:t xml:space="preserve">KSE Board Ltd, </w:t>
      </w:r>
      <w:proofErr w:type="spellStart"/>
      <w:r w:rsidRPr="006C5E10">
        <w:rPr>
          <w:rFonts w:ascii="Bookman Old Style" w:eastAsia="Bookman Old Style" w:hAnsi="Bookman Old Style" w:cs="Bookman Old Style"/>
          <w:sz w:val="24"/>
        </w:rPr>
        <w:t>Pinarayi</w:t>
      </w:r>
      <w:proofErr w:type="spellEnd"/>
      <w:r w:rsidRPr="006C5E10">
        <w:rPr>
          <w:rFonts w:ascii="Bookman Old Style" w:eastAsia="Bookman Old Style" w:hAnsi="Bookman Old Style" w:cs="Bookman Old Style"/>
          <w:sz w:val="24"/>
        </w:rPr>
        <w:t>, Kannur Dist.</w:t>
      </w:r>
    </w:p>
    <w:p w14:paraId="49594703" w14:textId="77777777" w:rsidR="00C61EFF" w:rsidRPr="005213FD" w:rsidRDefault="00C61EFF" w:rsidP="00C61EFF">
      <w:pPr>
        <w:pStyle w:val="ListParagraph"/>
        <w:numPr>
          <w:ilvl w:val="0"/>
          <w:numId w:val="27"/>
        </w:numPr>
        <w:spacing w:after="120" w:line="240" w:lineRule="auto"/>
        <w:ind w:left="540" w:hanging="540"/>
        <w:jc w:val="both"/>
        <w:rPr>
          <w:rFonts w:ascii="Bookman Old Style" w:eastAsiaTheme="minorHAnsi" w:hAnsi="Bookman Old Style"/>
          <w:sz w:val="24"/>
          <w:szCs w:val="24"/>
          <w:lang w:bidi="en-US"/>
        </w:rPr>
      </w:pPr>
      <w:r w:rsidRPr="005213FD">
        <w:rPr>
          <w:rFonts w:ascii="Bookman Old Style" w:eastAsiaTheme="minorHAnsi" w:hAnsi="Bookman Old Style"/>
          <w:sz w:val="24"/>
          <w:szCs w:val="24"/>
          <w:lang w:bidi="en-US"/>
        </w:rPr>
        <w:t xml:space="preserve">Sri. </w:t>
      </w:r>
      <w:proofErr w:type="spellStart"/>
      <w:r w:rsidRPr="005213FD">
        <w:rPr>
          <w:rFonts w:ascii="Bookman Old Style" w:eastAsiaTheme="minorHAnsi" w:hAnsi="Bookman Old Style"/>
          <w:sz w:val="24"/>
          <w:szCs w:val="24"/>
          <w:lang w:bidi="en-US"/>
        </w:rPr>
        <w:t>Noufal</w:t>
      </w:r>
      <w:proofErr w:type="spellEnd"/>
      <w:r w:rsidRPr="005213FD">
        <w:rPr>
          <w:rFonts w:ascii="Bookman Old Style" w:eastAsiaTheme="minorHAnsi" w:hAnsi="Bookman Old Style"/>
          <w:sz w:val="24"/>
          <w:szCs w:val="24"/>
          <w:lang w:bidi="en-US"/>
        </w:rPr>
        <w:t xml:space="preserve">. A., Proprietor, </w:t>
      </w:r>
      <w:proofErr w:type="spellStart"/>
      <w:r w:rsidRPr="005213FD">
        <w:rPr>
          <w:rFonts w:ascii="Bookman Old Style" w:eastAsiaTheme="minorHAnsi" w:hAnsi="Bookman Old Style"/>
          <w:sz w:val="24"/>
          <w:szCs w:val="24"/>
          <w:lang w:bidi="en-US"/>
        </w:rPr>
        <w:t>Nama</w:t>
      </w:r>
      <w:r>
        <w:rPr>
          <w:rFonts w:ascii="Bookman Old Style" w:eastAsiaTheme="minorHAnsi" w:hAnsi="Bookman Old Style"/>
          <w:sz w:val="24"/>
          <w:szCs w:val="24"/>
          <w:lang w:bidi="en-US"/>
        </w:rPr>
        <w:t>z</w:t>
      </w:r>
      <w:r w:rsidRPr="005213FD">
        <w:rPr>
          <w:rFonts w:ascii="Bookman Old Style" w:eastAsiaTheme="minorHAnsi" w:hAnsi="Bookman Old Style"/>
          <w:sz w:val="24"/>
          <w:szCs w:val="24"/>
          <w:lang w:bidi="en-US"/>
        </w:rPr>
        <w:t>co</w:t>
      </w:r>
      <w:proofErr w:type="spellEnd"/>
      <w:r w:rsidRPr="005213FD">
        <w:rPr>
          <w:rFonts w:ascii="Bookman Old Style" w:eastAsiaTheme="minorHAnsi" w:hAnsi="Bookman Old Style"/>
          <w:sz w:val="24"/>
          <w:szCs w:val="24"/>
          <w:lang w:bidi="en-US"/>
        </w:rPr>
        <w:t xml:space="preserve"> Pet Industries, </w:t>
      </w:r>
      <w:proofErr w:type="spellStart"/>
      <w:r w:rsidRPr="005213FD">
        <w:rPr>
          <w:rFonts w:ascii="Bookman Old Style" w:eastAsiaTheme="minorHAnsi" w:hAnsi="Bookman Old Style"/>
          <w:sz w:val="24"/>
          <w:szCs w:val="24"/>
          <w:lang w:bidi="en-US"/>
        </w:rPr>
        <w:t>Pachapoika</w:t>
      </w:r>
      <w:proofErr w:type="spellEnd"/>
      <w:r w:rsidRPr="005213FD">
        <w:rPr>
          <w:rFonts w:ascii="Bookman Old Style" w:eastAsiaTheme="minorHAnsi" w:hAnsi="Bookman Old Style"/>
          <w:sz w:val="24"/>
          <w:szCs w:val="24"/>
          <w:lang w:bidi="en-US"/>
        </w:rPr>
        <w:t xml:space="preserve">, </w:t>
      </w:r>
      <w:proofErr w:type="spellStart"/>
      <w:r w:rsidRPr="005213FD">
        <w:rPr>
          <w:rFonts w:ascii="Bookman Old Style" w:eastAsiaTheme="minorHAnsi" w:hAnsi="Bookman Old Style"/>
          <w:sz w:val="24"/>
          <w:szCs w:val="24"/>
          <w:lang w:bidi="en-US"/>
        </w:rPr>
        <w:t>Kuthuparamba</w:t>
      </w:r>
      <w:proofErr w:type="spellEnd"/>
      <w:r w:rsidRPr="005213FD">
        <w:rPr>
          <w:rFonts w:ascii="Bookman Old Style" w:eastAsiaTheme="minorHAnsi" w:hAnsi="Bookman Old Style"/>
          <w:sz w:val="24"/>
          <w:szCs w:val="24"/>
          <w:lang w:bidi="en-US"/>
        </w:rPr>
        <w:t>, Kannur Dist. 670643</w:t>
      </w:r>
    </w:p>
    <w:p w14:paraId="4C76C417" w14:textId="77777777" w:rsidR="00D56688" w:rsidRDefault="00D56688" w:rsidP="000831DE">
      <w:pPr>
        <w:pStyle w:val="NoSpacing"/>
        <w:spacing w:after="120"/>
        <w:jc w:val="both"/>
        <w:rPr>
          <w:rFonts w:ascii="Bookman Old Style" w:hAnsi="Bookman Old Style"/>
          <w:sz w:val="24"/>
          <w:szCs w:val="24"/>
        </w:rPr>
      </w:pPr>
      <w:r w:rsidRPr="00710BAE">
        <w:rPr>
          <w:rFonts w:ascii="Bookman Old Style" w:hAnsi="Bookman Old Style"/>
          <w:sz w:val="24"/>
          <w:szCs w:val="24"/>
          <w:u w:val="single"/>
        </w:rPr>
        <w:t>Copy to</w:t>
      </w:r>
      <w:r>
        <w:rPr>
          <w:rFonts w:ascii="Bookman Old Style" w:hAnsi="Bookman Old Style"/>
          <w:sz w:val="24"/>
          <w:szCs w:val="24"/>
        </w:rPr>
        <w:t>:</w:t>
      </w:r>
    </w:p>
    <w:p w14:paraId="034D9720" w14:textId="77777777" w:rsidR="00D56688" w:rsidRPr="00C052BA" w:rsidRDefault="00D56688" w:rsidP="000831DE">
      <w:pPr>
        <w:pStyle w:val="NoSpacing"/>
        <w:numPr>
          <w:ilvl w:val="0"/>
          <w:numId w:val="7"/>
        </w:numPr>
        <w:spacing w:after="120"/>
        <w:ind w:left="540" w:hanging="540"/>
        <w:jc w:val="both"/>
        <w:rPr>
          <w:rFonts w:ascii="Bookman Old Style" w:hAnsi="Bookman Old Style" w:cs="Times New Roman"/>
          <w:sz w:val="24"/>
          <w:szCs w:val="24"/>
        </w:rPr>
      </w:pPr>
      <w:r w:rsidRPr="00C052BA">
        <w:rPr>
          <w:rFonts w:ascii="Bookman Old Style" w:hAnsi="Bookman Old Style" w:cs="Times New Roman"/>
          <w:sz w:val="24"/>
          <w:szCs w:val="24"/>
        </w:rPr>
        <w:t xml:space="preserve">The Secretary, Kerala State Electricity Regulatory Commission, KPFC </w:t>
      </w:r>
      <w:proofErr w:type="spellStart"/>
      <w:r w:rsidRPr="00C052BA">
        <w:rPr>
          <w:rFonts w:ascii="Bookman Old Style" w:hAnsi="Bookman Old Style" w:cs="Times New Roman"/>
          <w:sz w:val="24"/>
          <w:szCs w:val="24"/>
        </w:rPr>
        <w:t>Bhavanam</w:t>
      </w:r>
      <w:proofErr w:type="spellEnd"/>
      <w:r w:rsidRPr="00C052BA">
        <w:rPr>
          <w:rFonts w:ascii="Bookman Old Style" w:hAnsi="Bookman Old Style" w:cs="Times New Roman"/>
          <w:sz w:val="24"/>
          <w:szCs w:val="24"/>
        </w:rPr>
        <w:t xml:space="preserve">, </w:t>
      </w:r>
      <w:proofErr w:type="spellStart"/>
      <w:r w:rsidRPr="00C052BA">
        <w:rPr>
          <w:rFonts w:ascii="Bookman Old Style" w:hAnsi="Bookman Old Style" w:cs="Times New Roman"/>
          <w:sz w:val="24"/>
          <w:szCs w:val="24"/>
        </w:rPr>
        <w:t>Vellayambalam</w:t>
      </w:r>
      <w:proofErr w:type="spellEnd"/>
      <w:r w:rsidRPr="00C052BA">
        <w:rPr>
          <w:rFonts w:ascii="Bookman Old Style" w:hAnsi="Bookman Old Style" w:cs="Times New Roman"/>
          <w:sz w:val="24"/>
          <w:szCs w:val="24"/>
        </w:rPr>
        <w:t>, Thiruvananthapuram-10.</w:t>
      </w:r>
    </w:p>
    <w:p w14:paraId="52AB6843" w14:textId="77777777" w:rsidR="00D56688" w:rsidRDefault="00D56688" w:rsidP="00D56688">
      <w:pPr>
        <w:pStyle w:val="NoSpacing"/>
        <w:numPr>
          <w:ilvl w:val="0"/>
          <w:numId w:val="7"/>
        </w:numPr>
        <w:tabs>
          <w:tab w:val="left" w:pos="1701"/>
          <w:tab w:val="left" w:pos="3969"/>
          <w:tab w:val="left" w:pos="4536"/>
        </w:tabs>
        <w:spacing w:after="60"/>
        <w:ind w:left="540" w:hanging="540"/>
        <w:jc w:val="both"/>
        <w:rPr>
          <w:rFonts w:ascii="Bookman Old Style" w:hAnsi="Bookman Old Style" w:cs="Times New Roman"/>
          <w:sz w:val="24"/>
          <w:szCs w:val="24"/>
        </w:rPr>
      </w:pPr>
      <w:r w:rsidRPr="00C052BA">
        <w:rPr>
          <w:rFonts w:ascii="Bookman Old Style" w:hAnsi="Bookman Old Style" w:cs="Times New Roman"/>
          <w:sz w:val="24"/>
          <w:szCs w:val="24"/>
        </w:rPr>
        <w:t xml:space="preserve">The Secretary, KSE Board Limited, </w:t>
      </w:r>
      <w:proofErr w:type="spellStart"/>
      <w:r w:rsidRPr="00C052BA">
        <w:rPr>
          <w:rFonts w:ascii="Bookman Old Style" w:hAnsi="Bookman Old Style" w:cs="Times New Roman"/>
          <w:sz w:val="24"/>
          <w:szCs w:val="24"/>
        </w:rPr>
        <w:t>Vydhyuthi</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B</w:t>
      </w:r>
      <w:r w:rsidRPr="00C052BA">
        <w:rPr>
          <w:rFonts w:ascii="Bookman Old Style" w:hAnsi="Bookman Old Style" w:cs="Times New Roman"/>
          <w:sz w:val="24"/>
          <w:szCs w:val="24"/>
        </w:rPr>
        <w:t>havanam</w:t>
      </w:r>
      <w:proofErr w:type="spellEnd"/>
      <w:r w:rsidRPr="00C052BA">
        <w:rPr>
          <w:rFonts w:ascii="Bookman Old Style" w:hAnsi="Bookman Old Style" w:cs="Times New Roman"/>
          <w:sz w:val="24"/>
          <w:szCs w:val="24"/>
        </w:rPr>
        <w:t xml:space="preserve">, </w:t>
      </w:r>
      <w:proofErr w:type="spellStart"/>
      <w:r w:rsidRPr="00C052BA">
        <w:rPr>
          <w:rFonts w:ascii="Bookman Old Style" w:hAnsi="Bookman Old Style" w:cs="Times New Roman"/>
          <w:sz w:val="24"/>
          <w:szCs w:val="24"/>
        </w:rPr>
        <w:t>Pattom</w:t>
      </w:r>
      <w:proofErr w:type="spellEnd"/>
      <w:r w:rsidRPr="00C052BA">
        <w:rPr>
          <w:rFonts w:ascii="Bookman Old Style" w:hAnsi="Bookman Old Style" w:cs="Times New Roman"/>
          <w:sz w:val="24"/>
          <w:szCs w:val="24"/>
        </w:rPr>
        <w:t>,</w:t>
      </w:r>
      <w:r>
        <w:rPr>
          <w:rFonts w:ascii="Bookman Old Style" w:hAnsi="Bookman Old Style" w:cs="Times New Roman"/>
          <w:sz w:val="24"/>
          <w:szCs w:val="24"/>
        </w:rPr>
        <w:t xml:space="preserve"> </w:t>
      </w:r>
      <w:r w:rsidRPr="00C052BA">
        <w:rPr>
          <w:rFonts w:ascii="Bookman Old Style" w:hAnsi="Bookman Old Style" w:cs="Times New Roman"/>
          <w:sz w:val="24"/>
          <w:szCs w:val="24"/>
        </w:rPr>
        <w:t>Thiruvananthapuram-4.</w:t>
      </w:r>
    </w:p>
    <w:sectPr w:rsidR="00D56688" w:rsidSect="000A41B1">
      <w:headerReference w:type="default" r:id="rId8"/>
      <w:pgSz w:w="12240" w:h="15840" w:code="1"/>
      <w:pgMar w:top="1152" w:right="1008" w:bottom="720" w:left="1584" w:header="576" w:footer="432"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A32C" w14:textId="77777777" w:rsidR="000749D0" w:rsidRDefault="000749D0" w:rsidP="00E92820">
      <w:pPr>
        <w:spacing w:after="0" w:line="240" w:lineRule="auto"/>
      </w:pPr>
      <w:r>
        <w:separator/>
      </w:r>
    </w:p>
  </w:endnote>
  <w:endnote w:type="continuationSeparator" w:id="0">
    <w:p w14:paraId="72E74CDE" w14:textId="77777777" w:rsidR="000749D0" w:rsidRDefault="000749D0" w:rsidP="00E9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ladio Uralic">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Kartika">
    <w:panose1 w:val="02020503030404060203"/>
    <w:charset w:val="00"/>
    <w:family w:val="roman"/>
    <w:pitch w:val="variable"/>
    <w:sig w:usb0="008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D29E" w14:textId="77777777" w:rsidR="000749D0" w:rsidRDefault="000749D0" w:rsidP="00E92820">
      <w:pPr>
        <w:spacing w:after="0" w:line="240" w:lineRule="auto"/>
      </w:pPr>
      <w:r>
        <w:separator/>
      </w:r>
    </w:p>
  </w:footnote>
  <w:footnote w:type="continuationSeparator" w:id="0">
    <w:p w14:paraId="64715E3B" w14:textId="77777777" w:rsidR="000749D0" w:rsidRDefault="000749D0" w:rsidP="00E92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70856"/>
      <w:docPartObj>
        <w:docPartGallery w:val="Page Numbers (Top of Page)"/>
        <w:docPartUnique/>
      </w:docPartObj>
    </w:sdtPr>
    <w:sdtEndPr>
      <w:rPr>
        <w:noProof/>
      </w:rPr>
    </w:sdtEndPr>
    <w:sdtContent>
      <w:p w14:paraId="01597C3E" w14:textId="57DD4712" w:rsidR="00E92820" w:rsidRDefault="00E92820">
        <w:pPr>
          <w:pStyle w:val="Header"/>
          <w:jc w:val="center"/>
        </w:pPr>
        <w:r>
          <w:fldChar w:fldCharType="begin"/>
        </w:r>
        <w:r>
          <w:instrText xml:space="preserve"> PAGE   \* MERGEFORMAT </w:instrText>
        </w:r>
        <w:r>
          <w:fldChar w:fldCharType="separate"/>
        </w:r>
        <w:r w:rsidR="00D401CB">
          <w:rPr>
            <w:noProof/>
          </w:rPr>
          <w:t>9</w:t>
        </w:r>
        <w:r>
          <w:rPr>
            <w:noProof/>
          </w:rPr>
          <w:fldChar w:fldCharType="end"/>
        </w:r>
      </w:p>
    </w:sdtContent>
  </w:sdt>
  <w:p w14:paraId="1E37A94C" w14:textId="77777777" w:rsidR="00E92820" w:rsidRDefault="00E92820">
    <w:pPr>
      <w:pStyle w:val="Header"/>
    </w:pPr>
  </w:p>
  <w:p w14:paraId="7985DFA6" w14:textId="77777777" w:rsidR="006A04CF" w:rsidRDefault="006A04CF"/>
  <w:p w14:paraId="635ED0A4" w14:textId="77777777" w:rsidR="001D26AA" w:rsidRDefault="001D26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D49"/>
    <w:multiLevelType w:val="multilevel"/>
    <w:tmpl w:val="035C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0325D"/>
    <w:multiLevelType w:val="hybridMultilevel"/>
    <w:tmpl w:val="AF26E45E"/>
    <w:lvl w:ilvl="0" w:tplc="AD5403DC">
      <w:start w:val="2"/>
      <w:numFmt w:val="decimal"/>
      <w:lvlText w:val="(%1)"/>
      <w:lvlJc w:val="left"/>
      <w:pPr>
        <w:ind w:left="300" w:hanging="720"/>
        <w:jc w:val="left"/>
      </w:pPr>
      <w:rPr>
        <w:rFonts w:ascii="Palladio Uralic" w:eastAsia="Palladio Uralic" w:hAnsi="Palladio Uralic" w:cs="Palladio Uralic" w:hint="default"/>
        <w:spacing w:val="-13"/>
        <w:w w:val="99"/>
        <w:sz w:val="24"/>
        <w:szCs w:val="24"/>
        <w:lang w:val="en-US" w:eastAsia="en-US" w:bidi="ar-SA"/>
      </w:rPr>
    </w:lvl>
    <w:lvl w:ilvl="1" w:tplc="4C4EE3AC">
      <w:start w:val="1"/>
      <w:numFmt w:val="lowerLetter"/>
      <w:lvlText w:val="(%2)"/>
      <w:lvlJc w:val="left"/>
      <w:pPr>
        <w:ind w:left="2460" w:hanging="720"/>
        <w:jc w:val="left"/>
      </w:pPr>
      <w:rPr>
        <w:rFonts w:ascii="Palladio Uralic" w:eastAsia="Palladio Uralic" w:hAnsi="Palladio Uralic" w:cs="Palladio Uralic" w:hint="default"/>
        <w:spacing w:val="-13"/>
        <w:w w:val="99"/>
        <w:sz w:val="24"/>
        <w:szCs w:val="24"/>
        <w:lang w:val="en-US" w:eastAsia="en-US" w:bidi="ar-SA"/>
      </w:rPr>
    </w:lvl>
    <w:lvl w:ilvl="2" w:tplc="BA60A772">
      <w:start w:val="1"/>
      <w:numFmt w:val="decimal"/>
      <w:lvlText w:val="(%3)"/>
      <w:lvlJc w:val="left"/>
      <w:pPr>
        <w:ind w:left="2460" w:hanging="720"/>
        <w:jc w:val="left"/>
      </w:pPr>
      <w:rPr>
        <w:rFonts w:ascii="Palladio Uralic" w:eastAsia="Palladio Uralic" w:hAnsi="Palladio Uralic" w:cs="Palladio Uralic" w:hint="default"/>
        <w:spacing w:val="-1"/>
        <w:w w:val="99"/>
        <w:sz w:val="24"/>
        <w:szCs w:val="24"/>
        <w:lang w:val="en-US" w:eastAsia="en-US" w:bidi="ar-SA"/>
      </w:rPr>
    </w:lvl>
    <w:lvl w:ilvl="3" w:tplc="48904F38">
      <w:numFmt w:val="bullet"/>
      <w:lvlText w:val="•"/>
      <w:lvlJc w:val="left"/>
      <w:pPr>
        <w:ind w:left="3926" w:hanging="720"/>
      </w:pPr>
      <w:rPr>
        <w:rFonts w:hint="default"/>
        <w:lang w:val="en-US" w:eastAsia="en-US" w:bidi="ar-SA"/>
      </w:rPr>
    </w:lvl>
    <w:lvl w:ilvl="4" w:tplc="86C6DAD0">
      <w:numFmt w:val="bullet"/>
      <w:lvlText w:val="•"/>
      <w:lvlJc w:val="left"/>
      <w:pPr>
        <w:ind w:left="4660" w:hanging="720"/>
      </w:pPr>
      <w:rPr>
        <w:rFonts w:hint="default"/>
        <w:lang w:val="en-US" w:eastAsia="en-US" w:bidi="ar-SA"/>
      </w:rPr>
    </w:lvl>
    <w:lvl w:ilvl="5" w:tplc="DCB0E162">
      <w:numFmt w:val="bullet"/>
      <w:lvlText w:val="•"/>
      <w:lvlJc w:val="left"/>
      <w:pPr>
        <w:ind w:left="5393" w:hanging="720"/>
      </w:pPr>
      <w:rPr>
        <w:rFonts w:hint="default"/>
        <w:lang w:val="en-US" w:eastAsia="en-US" w:bidi="ar-SA"/>
      </w:rPr>
    </w:lvl>
    <w:lvl w:ilvl="6" w:tplc="264C9632">
      <w:numFmt w:val="bullet"/>
      <w:lvlText w:val="•"/>
      <w:lvlJc w:val="left"/>
      <w:pPr>
        <w:ind w:left="6126" w:hanging="720"/>
      </w:pPr>
      <w:rPr>
        <w:rFonts w:hint="default"/>
        <w:lang w:val="en-US" w:eastAsia="en-US" w:bidi="ar-SA"/>
      </w:rPr>
    </w:lvl>
    <w:lvl w:ilvl="7" w:tplc="9DD6C582">
      <w:numFmt w:val="bullet"/>
      <w:lvlText w:val="•"/>
      <w:lvlJc w:val="left"/>
      <w:pPr>
        <w:ind w:left="6860" w:hanging="720"/>
      </w:pPr>
      <w:rPr>
        <w:rFonts w:hint="default"/>
        <w:lang w:val="en-US" w:eastAsia="en-US" w:bidi="ar-SA"/>
      </w:rPr>
    </w:lvl>
    <w:lvl w:ilvl="8" w:tplc="AC7EC88A">
      <w:numFmt w:val="bullet"/>
      <w:lvlText w:val="•"/>
      <w:lvlJc w:val="left"/>
      <w:pPr>
        <w:ind w:left="7593" w:hanging="720"/>
      </w:pPr>
      <w:rPr>
        <w:rFonts w:hint="default"/>
        <w:lang w:val="en-US" w:eastAsia="en-US" w:bidi="ar-SA"/>
      </w:rPr>
    </w:lvl>
  </w:abstractNum>
  <w:abstractNum w:abstractNumId="2" w15:restartNumberingAfterBreak="0">
    <w:nsid w:val="041D750E"/>
    <w:multiLevelType w:val="multilevel"/>
    <w:tmpl w:val="C0D415F0"/>
    <w:lvl w:ilvl="0">
      <w:start w:val="1"/>
      <w:numFmt w:val="decimal"/>
      <w:lvlText w:val="%1."/>
      <w:lvlJc w:val="left"/>
      <w:pPr>
        <w:tabs>
          <w:tab w:val="num" w:pos="360"/>
        </w:tabs>
        <w:ind w:left="360" w:hanging="360"/>
      </w:pPr>
      <w:rPr>
        <w:rFonts w:ascii="Times New Roman" w:hAnsi="Times New Roman"/>
        <w:b w:val="0"/>
        <w:i/>
        <w:iCs/>
        <w:sz w:val="28"/>
        <w:szCs w:val="2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8502385"/>
    <w:multiLevelType w:val="hybridMultilevel"/>
    <w:tmpl w:val="CE40F5A0"/>
    <w:lvl w:ilvl="0" w:tplc="4009001B">
      <w:start w:val="1"/>
      <w:numFmt w:val="lowerRoman"/>
      <w:lvlText w:val="%1."/>
      <w:lvlJc w:val="right"/>
      <w:pPr>
        <w:ind w:left="2223" w:hanging="360"/>
      </w:pPr>
    </w:lvl>
    <w:lvl w:ilvl="1" w:tplc="40090019">
      <w:start w:val="1"/>
      <w:numFmt w:val="lowerLetter"/>
      <w:lvlText w:val="%2."/>
      <w:lvlJc w:val="left"/>
      <w:pPr>
        <w:ind w:left="2943" w:hanging="360"/>
      </w:pPr>
    </w:lvl>
    <w:lvl w:ilvl="2" w:tplc="4009001B" w:tentative="1">
      <w:start w:val="1"/>
      <w:numFmt w:val="lowerRoman"/>
      <w:lvlText w:val="%3."/>
      <w:lvlJc w:val="right"/>
      <w:pPr>
        <w:ind w:left="3663" w:hanging="180"/>
      </w:pPr>
    </w:lvl>
    <w:lvl w:ilvl="3" w:tplc="4009000F" w:tentative="1">
      <w:start w:val="1"/>
      <w:numFmt w:val="decimal"/>
      <w:lvlText w:val="%4."/>
      <w:lvlJc w:val="left"/>
      <w:pPr>
        <w:ind w:left="4383" w:hanging="360"/>
      </w:pPr>
    </w:lvl>
    <w:lvl w:ilvl="4" w:tplc="40090019" w:tentative="1">
      <w:start w:val="1"/>
      <w:numFmt w:val="lowerLetter"/>
      <w:lvlText w:val="%5."/>
      <w:lvlJc w:val="left"/>
      <w:pPr>
        <w:ind w:left="5103" w:hanging="360"/>
      </w:pPr>
    </w:lvl>
    <w:lvl w:ilvl="5" w:tplc="4009001B" w:tentative="1">
      <w:start w:val="1"/>
      <w:numFmt w:val="lowerRoman"/>
      <w:lvlText w:val="%6."/>
      <w:lvlJc w:val="right"/>
      <w:pPr>
        <w:ind w:left="5823" w:hanging="180"/>
      </w:pPr>
    </w:lvl>
    <w:lvl w:ilvl="6" w:tplc="4009000F" w:tentative="1">
      <w:start w:val="1"/>
      <w:numFmt w:val="decimal"/>
      <w:lvlText w:val="%7."/>
      <w:lvlJc w:val="left"/>
      <w:pPr>
        <w:ind w:left="6543" w:hanging="360"/>
      </w:pPr>
    </w:lvl>
    <w:lvl w:ilvl="7" w:tplc="40090019" w:tentative="1">
      <w:start w:val="1"/>
      <w:numFmt w:val="lowerLetter"/>
      <w:lvlText w:val="%8."/>
      <w:lvlJc w:val="left"/>
      <w:pPr>
        <w:ind w:left="7263" w:hanging="360"/>
      </w:pPr>
    </w:lvl>
    <w:lvl w:ilvl="8" w:tplc="4009001B" w:tentative="1">
      <w:start w:val="1"/>
      <w:numFmt w:val="lowerRoman"/>
      <w:lvlText w:val="%9."/>
      <w:lvlJc w:val="right"/>
      <w:pPr>
        <w:ind w:left="7983" w:hanging="180"/>
      </w:pPr>
    </w:lvl>
  </w:abstractNum>
  <w:abstractNum w:abstractNumId="4" w15:restartNumberingAfterBreak="0">
    <w:nsid w:val="0B131054"/>
    <w:multiLevelType w:val="hybridMultilevel"/>
    <w:tmpl w:val="60F61D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D10BDD"/>
    <w:multiLevelType w:val="hybridMultilevel"/>
    <w:tmpl w:val="8466D552"/>
    <w:lvl w:ilvl="0" w:tplc="5ECE9318">
      <w:start w:val="2"/>
      <w:numFmt w:val="decimal"/>
      <w:lvlText w:val="(%1)"/>
      <w:lvlJc w:val="left"/>
      <w:pPr>
        <w:ind w:left="1019" w:hanging="660"/>
        <w:jc w:val="left"/>
      </w:pPr>
      <w:rPr>
        <w:rFonts w:ascii="Palladio Uralic" w:eastAsia="Palladio Uralic" w:hAnsi="Palladio Uralic" w:cs="Palladio Uralic" w:hint="default"/>
        <w:spacing w:val="-2"/>
        <w:w w:val="99"/>
        <w:sz w:val="24"/>
        <w:szCs w:val="24"/>
        <w:lang w:val="en-US" w:eastAsia="en-US" w:bidi="ar-SA"/>
      </w:rPr>
    </w:lvl>
    <w:lvl w:ilvl="1" w:tplc="79F417B8">
      <w:start w:val="1"/>
      <w:numFmt w:val="lowerLetter"/>
      <w:lvlText w:val="(%2)"/>
      <w:lvlJc w:val="left"/>
      <w:pPr>
        <w:ind w:left="1740" w:hanging="719"/>
        <w:jc w:val="left"/>
      </w:pPr>
      <w:rPr>
        <w:rFonts w:ascii="Palladio Uralic" w:eastAsia="Palladio Uralic" w:hAnsi="Palladio Uralic" w:cs="Palladio Uralic" w:hint="default"/>
        <w:spacing w:val="-2"/>
        <w:w w:val="99"/>
        <w:sz w:val="24"/>
        <w:szCs w:val="24"/>
        <w:lang w:val="en-US" w:eastAsia="en-US" w:bidi="ar-SA"/>
      </w:rPr>
    </w:lvl>
    <w:lvl w:ilvl="2" w:tplc="71B473C8">
      <w:start w:val="1"/>
      <w:numFmt w:val="lowerRoman"/>
      <w:lvlText w:val="(%3)"/>
      <w:lvlJc w:val="left"/>
      <w:pPr>
        <w:ind w:left="2460" w:hanging="721"/>
        <w:jc w:val="left"/>
      </w:pPr>
      <w:rPr>
        <w:rFonts w:ascii="Palladio Uralic" w:eastAsia="Palladio Uralic" w:hAnsi="Palladio Uralic" w:cs="Palladio Uralic" w:hint="default"/>
        <w:spacing w:val="-1"/>
        <w:w w:val="99"/>
        <w:sz w:val="24"/>
        <w:szCs w:val="24"/>
        <w:lang w:val="en-US" w:eastAsia="en-US" w:bidi="ar-SA"/>
      </w:rPr>
    </w:lvl>
    <w:lvl w:ilvl="3" w:tplc="4EF44224">
      <w:numFmt w:val="bullet"/>
      <w:lvlText w:val="•"/>
      <w:lvlJc w:val="left"/>
      <w:pPr>
        <w:ind w:left="3285" w:hanging="721"/>
      </w:pPr>
      <w:rPr>
        <w:rFonts w:hint="default"/>
        <w:lang w:val="en-US" w:eastAsia="en-US" w:bidi="ar-SA"/>
      </w:rPr>
    </w:lvl>
    <w:lvl w:ilvl="4" w:tplc="B8505690">
      <w:numFmt w:val="bullet"/>
      <w:lvlText w:val="•"/>
      <w:lvlJc w:val="left"/>
      <w:pPr>
        <w:ind w:left="4110" w:hanging="721"/>
      </w:pPr>
      <w:rPr>
        <w:rFonts w:hint="default"/>
        <w:lang w:val="en-US" w:eastAsia="en-US" w:bidi="ar-SA"/>
      </w:rPr>
    </w:lvl>
    <w:lvl w:ilvl="5" w:tplc="6798BFD6">
      <w:numFmt w:val="bullet"/>
      <w:lvlText w:val="•"/>
      <w:lvlJc w:val="left"/>
      <w:pPr>
        <w:ind w:left="4935" w:hanging="721"/>
      </w:pPr>
      <w:rPr>
        <w:rFonts w:hint="default"/>
        <w:lang w:val="en-US" w:eastAsia="en-US" w:bidi="ar-SA"/>
      </w:rPr>
    </w:lvl>
    <w:lvl w:ilvl="6" w:tplc="2EA61CD4">
      <w:numFmt w:val="bullet"/>
      <w:lvlText w:val="•"/>
      <w:lvlJc w:val="left"/>
      <w:pPr>
        <w:ind w:left="5760" w:hanging="721"/>
      </w:pPr>
      <w:rPr>
        <w:rFonts w:hint="default"/>
        <w:lang w:val="en-US" w:eastAsia="en-US" w:bidi="ar-SA"/>
      </w:rPr>
    </w:lvl>
    <w:lvl w:ilvl="7" w:tplc="3386068E">
      <w:numFmt w:val="bullet"/>
      <w:lvlText w:val="•"/>
      <w:lvlJc w:val="left"/>
      <w:pPr>
        <w:ind w:left="6585" w:hanging="721"/>
      </w:pPr>
      <w:rPr>
        <w:rFonts w:hint="default"/>
        <w:lang w:val="en-US" w:eastAsia="en-US" w:bidi="ar-SA"/>
      </w:rPr>
    </w:lvl>
    <w:lvl w:ilvl="8" w:tplc="F244BE40">
      <w:numFmt w:val="bullet"/>
      <w:lvlText w:val="•"/>
      <w:lvlJc w:val="left"/>
      <w:pPr>
        <w:ind w:left="7410" w:hanging="721"/>
      </w:pPr>
      <w:rPr>
        <w:rFonts w:hint="default"/>
        <w:lang w:val="en-US" w:eastAsia="en-US" w:bidi="ar-SA"/>
      </w:rPr>
    </w:lvl>
  </w:abstractNum>
  <w:abstractNum w:abstractNumId="6" w15:restartNumberingAfterBreak="0">
    <w:nsid w:val="135B37AC"/>
    <w:multiLevelType w:val="hybridMultilevel"/>
    <w:tmpl w:val="F782D7FE"/>
    <w:lvl w:ilvl="0" w:tplc="C40C9C3C">
      <w:start w:val="1"/>
      <w:numFmt w:val="decimal"/>
      <w:lvlText w:val="%1."/>
      <w:lvlJc w:val="left"/>
      <w:pPr>
        <w:ind w:left="836" w:hanging="360"/>
      </w:pPr>
      <w:rPr>
        <w:rFonts w:ascii="Liberation Serif" w:eastAsia="Liberation Serif" w:hAnsi="Liberation Serif" w:cs="Liberation Serif" w:hint="default"/>
        <w:color w:val="000009"/>
        <w:spacing w:val="-25"/>
        <w:w w:val="100"/>
        <w:sz w:val="28"/>
        <w:szCs w:val="28"/>
        <w:lang w:val="en-US" w:eastAsia="en-US" w:bidi="ar-SA"/>
      </w:rPr>
    </w:lvl>
    <w:lvl w:ilvl="1" w:tplc="2CD437A8">
      <w:start w:val="1"/>
      <w:numFmt w:val="lowerRoman"/>
      <w:lvlText w:val="%2)"/>
      <w:lvlJc w:val="left"/>
      <w:pPr>
        <w:ind w:left="836" w:hanging="250"/>
        <w:jc w:val="right"/>
      </w:pPr>
      <w:rPr>
        <w:rFonts w:ascii="Liberation Serif" w:eastAsia="Liberation Serif" w:hAnsi="Liberation Serif" w:cs="Liberation Serif" w:hint="default"/>
        <w:i/>
        <w:color w:val="000009"/>
        <w:spacing w:val="-2"/>
        <w:w w:val="100"/>
        <w:sz w:val="28"/>
        <w:szCs w:val="28"/>
        <w:lang w:val="en-US" w:eastAsia="en-US" w:bidi="ar-SA"/>
      </w:rPr>
    </w:lvl>
    <w:lvl w:ilvl="2" w:tplc="7D989C9E">
      <w:numFmt w:val="bullet"/>
      <w:lvlText w:val="•"/>
      <w:lvlJc w:val="left"/>
      <w:pPr>
        <w:ind w:left="2644" w:hanging="250"/>
      </w:pPr>
      <w:rPr>
        <w:rFonts w:hint="default"/>
        <w:lang w:val="en-US" w:eastAsia="en-US" w:bidi="ar-SA"/>
      </w:rPr>
    </w:lvl>
    <w:lvl w:ilvl="3" w:tplc="C3EA58E4">
      <w:numFmt w:val="bullet"/>
      <w:lvlText w:val="•"/>
      <w:lvlJc w:val="left"/>
      <w:pPr>
        <w:ind w:left="3546" w:hanging="250"/>
      </w:pPr>
      <w:rPr>
        <w:rFonts w:hint="default"/>
        <w:lang w:val="en-US" w:eastAsia="en-US" w:bidi="ar-SA"/>
      </w:rPr>
    </w:lvl>
    <w:lvl w:ilvl="4" w:tplc="B5FAB180">
      <w:numFmt w:val="bullet"/>
      <w:lvlText w:val="•"/>
      <w:lvlJc w:val="left"/>
      <w:pPr>
        <w:ind w:left="4448" w:hanging="250"/>
      </w:pPr>
      <w:rPr>
        <w:rFonts w:hint="default"/>
        <w:lang w:val="en-US" w:eastAsia="en-US" w:bidi="ar-SA"/>
      </w:rPr>
    </w:lvl>
    <w:lvl w:ilvl="5" w:tplc="F3D4C966">
      <w:numFmt w:val="bullet"/>
      <w:lvlText w:val="•"/>
      <w:lvlJc w:val="left"/>
      <w:pPr>
        <w:ind w:left="5350" w:hanging="250"/>
      </w:pPr>
      <w:rPr>
        <w:rFonts w:hint="default"/>
        <w:lang w:val="en-US" w:eastAsia="en-US" w:bidi="ar-SA"/>
      </w:rPr>
    </w:lvl>
    <w:lvl w:ilvl="6" w:tplc="F208A40E">
      <w:numFmt w:val="bullet"/>
      <w:lvlText w:val="•"/>
      <w:lvlJc w:val="left"/>
      <w:pPr>
        <w:ind w:left="6252" w:hanging="250"/>
      </w:pPr>
      <w:rPr>
        <w:rFonts w:hint="default"/>
        <w:lang w:val="en-US" w:eastAsia="en-US" w:bidi="ar-SA"/>
      </w:rPr>
    </w:lvl>
    <w:lvl w:ilvl="7" w:tplc="3AC28430">
      <w:numFmt w:val="bullet"/>
      <w:lvlText w:val="•"/>
      <w:lvlJc w:val="left"/>
      <w:pPr>
        <w:ind w:left="7154" w:hanging="250"/>
      </w:pPr>
      <w:rPr>
        <w:rFonts w:hint="default"/>
        <w:lang w:val="en-US" w:eastAsia="en-US" w:bidi="ar-SA"/>
      </w:rPr>
    </w:lvl>
    <w:lvl w:ilvl="8" w:tplc="CE3ECA30">
      <w:numFmt w:val="bullet"/>
      <w:lvlText w:val="•"/>
      <w:lvlJc w:val="left"/>
      <w:pPr>
        <w:ind w:left="8056" w:hanging="250"/>
      </w:pPr>
      <w:rPr>
        <w:rFonts w:hint="default"/>
        <w:lang w:val="en-US" w:eastAsia="en-US" w:bidi="ar-SA"/>
      </w:rPr>
    </w:lvl>
  </w:abstractNum>
  <w:abstractNum w:abstractNumId="7" w15:restartNumberingAfterBreak="0">
    <w:nsid w:val="173759FB"/>
    <w:multiLevelType w:val="hybridMultilevel"/>
    <w:tmpl w:val="53F662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0BC7C9D"/>
    <w:multiLevelType w:val="hybridMultilevel"/>
    <w:tmpl w:val="CAC68B78"/>
    <w:lvl w:ilvl="0" w:tplc="4009000F">
      <w:start w:val="1"/>
      <w:numFmt w:val="decimal"/>
      <w:lvlText w:val="%1."/>
      <w:lvlJc w:val="left"/>
      <w:pPr>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CC07181"/>
    <w:multiLevelType w:val="hybridMultilevel"/>
    <w:tmpl w:val="53E4E04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0651A6"/>
    <w:multiLevelType w:val="hybridMultilevel"/>
    <w:tmpl w:val="93A8184C"/>
    <w:lvl w:ilvl="0" w:tplc="7896B6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716FC2"/>
    <w:multiLevelType w:val="hybridMultilevel"/>
    <w:tmpl w:val="78AC0270"/>
    <w:lvl w:ilvl="0" w:tplc="BBA2BA04">
      <w:start w:val="1"/>
      <w:numFmt w:val="lowerRoman"/>
      <w:lvlText w:val="(%1)"/>
      <w:lvlJc w:val="left"/>
      <w:pPr>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65219BA"/>
    <w:multiLevelType w:val="hybridMultilevel"/>
    <w:tmpl w:val="78D2926C"/>
    <w:lvl w:ilvl="0" w:tplc="3BE0903A">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6714760"/>
    <w:multiLevelType w:val="hybridMultilevel"/>
    <w:tmpl w:val="D902C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1B554D"/>
    <w:multiLevelType w:val="hybridMultilevel"/>
    <w:tmpl w:val="DC28A3C8"/>
    <w:lvl w:ilvl="0" w:tplc="BBA2BA0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41616E01"/>
    <w:multiLevelType w:val="hybridMultilevel"/>
    <w:tmpl w:val="630C1782"/>
    <w:lvl w:ilvl="0" w:tplc="3BE0903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46364D75"/>
    <w:multiLevelType w:val="hybridMultilevel"/>
    <w:tmpl w:val="E994563A"/>
    <w:lvl w:ilvl="0" w:tplc="4009000F">
      <w:start w:val="1"/>
      <w:numFmt w:val="decimal"/>
      <w:lvlText w:val="%1."/>
      <w:lvlJc w:val="left"/>
      <w:pPr>
        <w:ind w:left="1386" w:hanging="360"/>
      </w:pPr>
    </w:lvl>
    <w:lvl w:ilvl="1" w:tplc="40090019" w:tentative="1">
      <w:start w:val="1"/>
      <w:numFmt w:val="lowerLetter"/>
      <w:lvlText w:val="%2."/>
      <w:lvlJc w:val="left"/>
      <w:pPr>
        <w:ind w:left="2106" w:hanging="360"/>
      </w:pPr>
    </w:lvl>
    <w:lvl w:ilvl="2" w:tplc="4009001B" w:tentative="1">
      <w:start w:val="1"/>
      <w:numFmt w:val="lowerRoman"/>
      <w:lvlText w:val="%3."/>
      <w:lvlJc w:val="right"/>
      <w:pPr>
        <w:ind w:left="2826" w:hanging="180"/>
      </w:pPr>
    </w:lvl>
    <w:lvl w:ilvl="3" w:tplc="4009000F" w:tentative="1">
      <w:start w:val="1"/>
      <w:numFmt w:val="decimal"/>
      <w:lvlText w:val="%4."/>
      <w:lvlJc w:val="left"/>
      <w:pPr>
        <w:ind w:left="3546" w:hanging="360"/>
      </w:pPr>
    </w:lvl>
    <w:lvl w:ilvl="4" w:tplc="40090019" w:tentative="1">
      <w:start w:val="1"/>
      <w:numFmt w:val="lowerLetter"/>
      <w:lvlText w:val="%5."/>
      <w:lvlJc w:val="left"/>
      <w:pPr>
        <w:ind w:left="4266" w:hanging="360"/>
      </w:pPr>
    </w:lvl>
    <w:lvl w:ilvl="5" w:tplc="4009001B" w:tentative="1">
      <w:start w:val="1"/>
      <w:numFmt w:val="lowerRoman"/>
      <w:lvlText w:val="%6."/>
      <w:lvlJc w:val="right"/>
      <w:pPr>
        <w:ind w:left="4986" w:hanging="180"/>
      </w:pPr>
    </w:lvl>
    <w:lvl w:ilvl="6" w:tplc="4009000F" w:tentative="1">
      <w:start w:val="1"/>
      <w:numFmt w:val="decimal"/>
      <w:lvlText w:val="%7."/>
      <w:lvlJc w:val="left"/>
      <w:pPr>
        <w:ind w:left="5706" w:hanging="360"/>
      </w:pPr>
    </w:lvl>
    <w:lvl w:ilvl="7" w:tplc="40090019" w:tentative="1">
      <w:start w:val="1"/>
      <w:numFmt w:val="lowerLetter"/>
      <w:lvlText w:val="%8."/>
      <w:lvlJc w:val="left"/>
      <w:pPr>
        <w:ind w:left="6426" w:hanging="360"/>
      </w:pPr>
    </w:lvl>
    <w:lvl w:ilvl="8" w:tplc="4009001B" w:tentative="1">
      <w:start w:val="1"/>
      <w:numFmt w:val="lowerRoman"/>
      <w:lvlText w:val="%9."/>
      <w:lvlJc w:val="right"/>
      <w:pPr>
        <w:ind w:left="7146" w:hanging="180"/>
      </w:pPr>
    </w:lvl>
  </w:abstractNum>
  <w:abstractNum w:abstractNumId="17" w15:restartNumberingAfterBreak="0">
    <w:nsid w:val="47D56B6F"/>
    <w:multiLevelType w:val="hybridMultilevel"/>
    <w:tmpl w:val="805CD9BE"/>
    <w:lvl w:ilvl="0" w:tplc="4009000F">
      <w:start w:val="1"/>
      <w:numFmt w:val="decimal"/>
      <w:lvlText w:val="%1."/>
      <w:lvlJc w:val="left"/>
      <w:pPr>
        <w:ind w:left="2223" w:hanging="360"/>
      </w:pPr>
    </w:lvl>
    <w:lvl w:ilvl="1" w:tplc="40090019" w:tentative="1">
      <w:start w:val="1"/>
      <w:numFmt w:val="lowerLetter"/>
      <w:lvlText w:val="%2."/>
      <w:lvlJc w:val="left"/>
      <w:pPr>
        <w:ind w:left="2943" w:hanging="360"/>
      </w:pPr>
    </w:lvl>
    <w:lvl w:ilvl="2" w:tplc="4009001B" w:tentative="1">
      <w:start w:val="1"/>
      <w:numFmt w:val="lowerRoman"/>
      <w:lvlText w:val="%3."/>
      <w:lvlJc w:val="right"/>
      <w:pPr>
        <w:ind w:left="3663" w:hanging="180"/>
      </w:pPr>
    </w:lvl>
    <w:lvl w:ilvl="3" w:tplc="4009000F" w:tentative="1">
      <w:start w:val="1"/>
      <w:numFmt w:val="decimal"/>
      <w:lvlText w:val="%4."/>
      <w:lvlJc w:val="left"/>
      <w:pPr>
        <w:ind w:left="4383" w:hanging="360"/>
      </w:pPr>
    </w:lvl>
    <w:lvl w:ilvl="4" w:tplc="40090019" w:tentative="1">
      <w:start w:val="1"/>
      <w:numFmt w:val="lowerLetter"/>
      <w:lvlText w:val="%5."/>
      <w:lvlJc w:val="left"/>
      <w:pPr>
        <w:ind w:left="5103" w:hanging="360"/>
      </w:pPr>
    </w:lvl>
    <w:lvl w:ilvl="5" w:tplc="4009001B" w:tentative="1">
      <w:start w:val="1"/>
      <w:numFmt w:val="lowerRoman"/>
      <w:lvlText w:val="%6."/>
      <w:lvlJc w:val="right"/>
      <w:pPr>
        <w:ind w:left="5823" w:hanging="180"/>
      </w:pPr>
    </w:lvl>
    <w:lvl w:ilvl="6" w:tplc="4009000F" w:tentative="1">
      <w:start w:val="1"/>
      <w:numFmt w:val="decimal"/>
      <w:lvlText w:val="%7."/>
      <w:lvlJc w:val="left"/>
      <w:pPr>
        <w:ind w:left="6543" w:hanging="360"/>
      </w:pPr>
    </w:lvl>
    <w:lvl w:ilvl="7" w:tplc="40090019" w:tentative="1">
      <w:start w:val="1"/>
      <w:numFmt w:val="lowerLetter"/>
      <w:lvlText w:val="%8."/>
      <w:lvlJc w:val="left"/>
      <w:pPr>
        <w:ind w:left="7263" w:hanging="360"/>
      </w:pPr>
    </w:lvl>
    <w:lvl w:ilvl="8" w:tplc="4009001B" w:tentative="1">
      <w:start w:val="1"/>
      <w:numFmt w:val="lowerRoman"/>
      <w:lvlText w:val="%9."/>
      <w:lvlJc w:val="right"/>
      <w:pPr>
        <w:ind w:left="7983" w:hanging="180"/>
      </w:pPr>
    </w:lvl>
  </w:abstractNum>
  <w:abstractNum w:abstractNumId="18" w15:restartNumberingAfterBreak="0">
    <w:nsid w:val="4CA76330"/>
    <w:multiLevelType w:val="hybridMultilevel"/>
    <w:tmpl w:val="FD5C73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EBD6030"/>
    <w:multiLevelType w:val="hybridMultilevel"/>
    <w:tmpl w:val="69AA31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CD92E6F"/>
    <w:multiLevelType w:val="hybridMultilevel"/>
    <w:tmpl w:val="22B273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796448B"/>
    <w:multiLevelType w:val="hybridMultilevel"/>
    <w:tmpl w:val="72386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8D0375E"/>
    <w:multiLevelType w:val="hybridMultilevel"/>
    <w:tmpl w:val="76F64A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6CC45D1"/>
    <w:multiLevelType w:val="hybridMultilevel"/>
    <w:tmpl w:val="357A0DF0"/>
    <w:lvl w:ilvl="0" w:tplc="ED6CF71C">
      <w:start w:val="1"/>
      <w:numFmt w:val="lowerLetter"/>
      <w:lvlText w:val="(%1)"/>
      <w:lvlJc w:val="left"/>
      <w:pPr>
        <w:ind w:left="807" w:hanging="696"/>
        <w:jc w:val="left"/>
      </w:pPr>
      <w:rPr>
        <w:rFonts w:ascii="Arial" w:eastAsia="Arial" w:hAnsi="Arial" w:cs="Arial" w:hint="default"/>
        <w:w w:val="100"/>
        <w:sz w:val="23"/>
        <w:szCs w:val="23"/>
        <w:lang w:val="en-US" w:eastAsia="en-US" w:bidi="ar-SA"/>
      </w:rPr>
    </w:lvl>
    <w:lvl w:ilvl="1" w:tplc="9B1E4794">
      <w:start w:val="1"/>
      <w:numFmt w:val="lowerRoman"/>
      <w:lvlText w:val="(%2)"/>
      <w:lvlJc w:val="left"/>
      <w:pPr>
        <w:ind w:left="1852" w:hanging="348"/>
        <w:jc w:val="left"/>
      </w:pPr>
      <w:rPr>
        <w:rFonts w:ascii="Arial" w:eastAsia="Arial" w:hAnsi="Arial" w:cs="Arial" w:hint="default"/>
        <w:spacing w:val="-1"/>
        <w:w w:val="100"/>
        <w:sz w:val="23"/>
        <w:szCs w:val="23"/>
        <w:lang w:val="en-US" w:eastAsia="en-US" w:bidi="ar-SA"/>
      </w:rPr>
    </w:lvl>
    <w:lvl w:ilvl="2" w:tplc="47C82EEA">
      <w:start w:val="1"/>
      <w:numFmt w:val="decimal"/>
      <w:lvlText w:val="(%3)"/>
      <w:lvlJc w:val="left"/>
      <w:pPr>
        <w:ind w:left="2897" w:hanging="762"/>
        <w:jc w:val="left"/>
      </w:pPr>
      <w:rPr>
        <w:rFonts w:ascii="Arial" w:eastAsia="Arial" w:hAnsi="Arial" w:cs="Arial" w:hint="default"/>
        <w:w w:val="101"/>
        <w:sz w:val="19"/>
        <w:szCs w:val="19"/>
        <w:lang w:val="en-US" w:eastAsia="en-US" w:bidi="ar-SA"/>
      </w:rPr>
    </w:lvl>
    <w:lvl w:ilvl="3" w:tplc="176CEE44">
      <w:numFmt w:val="bullet"/>
      <w:lvlText w:val="•"/>
      <w:lvlJc w:val="left"/>
      <w:pPr>
        <w:ind w:left="2900" w:hanging="762"/>
      </w:pPr>
      <w:rPr>
        <w:rFonts w:hint="default"/>
        <w:lang w:val="en-US" w:eastAsia="en-US" w:bidi="ar-SA"/>
      </w:rPr>
    </w:lvl>
    <w:lvl w:ilvl="4" w:tplc="40B61B42">
      <w:numFmt w:val="bullet"/>
      <w:lvlText w:val="•"/>
      <w:lvlJc w:val="left"/>
      <w:pPr>
        <w:ind w:left="3711" w:hanging="762"/>
      </w:pPr>
      <w:rPr>
        <w:rFonts w:hint="default"/>
        <w:lang w:val="en-US" w:eastAsia="en-US" w:bidi="ar-SA"/>
      </w:rPr>
    </w:lvl>
    <w:lvl w:ilvl="5" w:tplc="3B58FDAA">
      <w:numFmt w:val="bullet"/>
      <w:lvlText w:val="•"/>
      <w:lvlJc w:val="left"/>
      <w:pPr>
        <w:ind w:left="4522" w:hanging="762"/>
      </w:pPr>
      <w:rPr>
        <w:rFonts w:hint="default"/>
        <w:lang w:val="en-US" w:eastAsia="en-US" w:bidi="ar-SA"/>
      </w:rPr>
    </w:lvl>
    <w:lvl w:ilvl="6" w:tplc="ECC620B6">
      <w:numFmt w:val="bullet"/>
      <w:lvlText w:val="•"/>
      <w:lvlJc w:val="left"/>
      <w:pPr>
        <w:ind w:left="5334" w:hanging="762"/>
      </w:pPr>
      <w:rPr>
        <w:rFonts w:hint="default"/>
        <w:lang w:val="en-US" w:eastAsia="en-US" w:bidi="ar-SA"/>
      </w:rPr>
    </w:lvl>
    <w:lvl w:ilvl="7" w:tplc="4CBC3BA0">
      <w:numFmt w:val="bullet"/>
      <w:lvlText w:val="•"/>
      <w:lvlJc w:val="left"/>
      <w:pPr>
        <w:ind w:left="6145" w:hanging="762"/>
      </w:pPr>
      <w:rPr>
        <w:rFonts w:hint="default"/>
        <w:lang w:val="en-US" w:eastAsia="en-US" w:bidi="ar-SA"/>
      </w:rPr>
    </w:lvl>
    <w:lvl w:ilvl="8" w:tplc="B6964858">
      <w:numFmt w:val="bullet"/>
      <w:lvlText w:val="•"/>
      <w:lvlJc w:val="left"/>
      <w:pPr>
        <w:ind w:left="6957" w:hanging="762"/>
      </w:pPr>
      <w:rPr>
        <w:rFonts w:hint="default"/>
        <w:lang w:val="en-US" w:eastAsia="en-US" w:bidi="ar-SA"/>
      </w:rPr>
    </w:lvl>
  </w:abstractNum>
  <w:abstractNum w:abstractNumId="24" w15:restartNumberingAfterBreak="0">
    <w:nsid w:val="78145EF7"/>
    <w:multiLevelType w:val="hybridMultilevel"/>
    <w:tmpl w:val="E1B6A2F6"/>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BF42216"/>
    <w:multiLevelType w:val="hybridMultilevel"/>
    <w:tmpl w:val="E21AB6F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7CEF412F"/>
    <w:multiLevelType w:val="hybridMultilevel"/>
    <w:tmpl w:val="AB6CD9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13"/>
  </w:num>
  <w:num w:numId="3">
    <w:abstractNumId w:val="2"/>
  </w:num>
  <w:num w:numId="4">
    <w:abstractNumId w:val="14"/>
  </w:num>
  <w:num w:numId="5">
    <w:abstractNumId w:val="11"/>
  </w:num>
  <w:num w:numId="6">
    <w:abstractNumId w:val="8"/>
  </w:num>
  <w:num w:numId="7">
    <w:abstractNumId w:val="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9"/>
  </w:num>
  <w:num w:numId="12">
    <w:abstractNumId w:val="16"/>
  </w:num>
  <w:num w:numId="13">
    <w:abstractNumId w:val="6"/>
  </w:num>
  <w:num w:numId="14">
    <w:abstractNumId w:val="22"/>
  </w:num>
  <w:num w:numId="15">
    <w:abstractNumId w:val="18"/>
  </w:num>
  <w:num w:numId="16">
    <w:abstractNumId w:val="15"/>
  </w:num>
  <w:num w:numId="17">
    <w:abstractNumId w:val="12"/>
  </w:num>
  <w:num w:numId="18">
    <w:abstractNumId w:val="23"/>
  </w:num>
  <w:num w:numId="19">
    <w:abstractNumId w:val="17"/>
  </w:num>
  <w:num w:numId="20">
    <w:abstractNumId w:val="3"/>
  </w:num>
  <w:num w:numId="21">
    <w:abstractNumId w:val="5"/>
  </w:num>
  <w:num w:numId="22">
    <w:abstractNumId w:val="1"/>
  </w:num>
  <w:num w:numId="23">
    <w:abstractNumId w:val="9"/>
  </w:num>
  <w:num w:numId="24">
    <w:abstractNumId w:val="7"/>
  </w:num>
  <w:num w:numId="25">
    <w:abstractNumId w:val="21"/>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85D"/>
    <w:rsid w:val="00011A5F"/>
    <w:rsid w:val="000145A7"/>
    <w:rsid w:val="000201CD"/>
    <w:rsid w:val="000212CC"/>
    <w:rsid w:val="00023B83"/>
    <w:rsid w:val="000256B9"/>
    <w:rsid w:val="0003147C"/>
    <w:rsid w:val="00033440"/>
    <w:rsid w:val="0003640D"/>
    <w:rsid w:val="000400E6"/>
    <w:rsid w:val="00042F92"/>
    <w:rsid w:val="00057238"/>
    <w:rsid w:val="000628F8"/>
    <w:rsid w:val="000638DB"/>
    <w:rsid w:val="00066C4F"/>
    <w:rsid w:val="000749D0"/>
    <w:rsid w:val="000831DE"/>
    <w:rsid w:val="0008645D"/>
    <w:rsid w:val="000925F3"/>
    <w:rsid w:val="000940A5"/>
    <w:rsid w:val="00094AA6"/>
    <w:rsid w:val="000A14B6"/>
    <w:rsid w:val="000A41B1"/>
    <w:rsid w:val="000A5245"/>
    <w:rsid w:val="000A74D1"/>
    <w:rsid w:val="000C7457"/>
    <w:rsid w:val="000D047F"/>
    <w:rsid w:val="000D1F3C"/>
    <w:rsid w:val="000D6CBF"/>
    <w:rsid w:val="00101FDC"/>
    <w:rsid w:val="001036C3"/>
    <w:rsid w:val="00111C66"/>
    <w:rsid w:val="0011584A"/>
    <w:rsid w:val="0013267F"/>
    <w:rsid w:val="00132793"/>
    <w:rsid w:val="00135E69"/>
    <w:rsid w:val="00140760"/>
    <w:rsid w:val="00143725"/>
    <w:rsid w:val="001446F4"/>
    <w:rsid w:val="00146AFA"/>
    <w:rsid w:val="00147E55"/>
    <w:rsid w:val="00163B53"/>
    <w:rsid w:val="00164859"/>
    <w:rsid w:val="00173A67"/>
    <w:rsid w:val="001744C8"/>
    <w:rsid w:val="001802ED"/>
    <w:rsid w:val="001806F4"/>
    <w:rsid w:val="00181211"/>
    <w:rsid w:val="0018365E"/>
    <w:rsid w:val="0019067F"/>
    <w:rsid w:val="00191235"/>
    <w:rsid w:val="0019157F"/>
    <w:rsid w:val="00193C5B"/>
    <w:rsid w:val="001941E1"/>
    <w:rsid w:val="001A202F"/>
    <w:rsid w:val="001A2FEC"/>
    <w:rsid w:val="001A678B"/>
    <w:rsid w:val="001A7396"/>
    <w:rsid w:val="001B2527"/>
    <w:rsid w:val="001B59FE"/>
    <w:rsid w:val="001C0CF0"/>
    <w:rsid w:val="001D26AA"/>
    <w:rsid w:val="001D63D6"/>
    <w:rsid w:val="001E1FF1"/>
    <w:rsid w:val="001E4C89"/>
    <w:rsid w:val="001F2C36"/>
    <w:rsid w:val="00207A7F"/>
    <w:rsid w:val="002105A3"/>
    <w:rsid w:val="00211216"/>
    <w:rsid w:val="002158A7"/>
    <w:rsid w:val="002263C2"/>
    <w:rsid w:val="00227CA0"/>
    <w:rsid w:val="00244F10"/>
    <w:rsid w:val="0024760A"/>
    <w:rsid w:val="0024792B"/>
    <w:rsid w:val="00250474"/>
    <w:rsid w:val="002701B9"/>
    <w:rsid w:val="002860E6"/>
    <w:rsid w:val="002863AE"/>
    <w:rsid w:val="00286FEA"/>
    <w:rsid w:val="00287BA0"/>
    <w:rsid w:val="002913D5"/>
    <w:rsid w:val="002914BC"/>
    <w:rsid w:val="002A13C5"/>
    <w:rsid w:val="002A34C1"/>
    <w:rsid w:val="002A3AB7"/>
    <w:rsid w:val="002A6C73"/>
    <w:rsid w:val="002B4E04"/>
    <w:rsid w:val="002C625D"/>
    <w:rsid w:val="002C66E4"/>
    <w:rsid w:val="002D1870"/>
    <w:rsid w:val="002D3F99"/>
    <w:rsid w:val="002D58D0"/>
    <w:rsid w:val="002E10BE"/>
    <w:rsid w:val="002E3E09"/>
    <w:rsid w:val="002E57D8"/>
    <w:rsid w:val="002F1ED3"/>
    <w:rsid w:val="003170D5"/>
    <w:rsid w:val="00317B2C"/>
    <w:rsid w:val="0032366C"/>
    <w:rsid w:val="00331DC2"/>
    <w:rsid w:val="003326AF"/>
    <w:rsid w:val="00335102"/>
    <w:rsid w:val="00336CA2"/>
    <w:rsid w:val="0034005A"/>
    <w:rsid w:val="0036248A"/>
    <w:rsid w:val="00365E01"/>
    <w:rsid w:val="003774D3"/>
    <w:rsid w:val="003777C6"/>
    <w:rsid w:val="003852F9"/>
    <w:rsid w:val="003967FA"/>
    <w:rsid w:val="003A39F8"/>
    <w:rsid w:val="003A60D8"/>
    <w:rsid w:val="003B41A3"/>
    <w:rsid w:val="003B60F2"/>
    <w:rsid w:val="003D0CD5"/>
    <w:rsid w:val="003D149D"/>
    <w:rsid w:val="003E076D"/>
    <w:rsid w:val="003E60AF"/>
    <w:rsid w:val="003F753C"/>
    <w:rsid w:val="003F76B5"/>
    <w:rsid w:val="004020F0"/>
    <w:rsid w:val="0040325B"/>
    <w:rsid w:val="00410204"/>
    <w:rsid w:val="00413EB8"/>
    <w:rsid w:val="00427795"/>
    <w:rsid w:val="00433C09"/>
    <w:rsid w:val="0043443E"/>
    <w:rsid w:val="004415B7"/>
    <w:rsid w:val="00442CEB"/>
    <w:rsid w:val="00450945"/>
    <w:rsid w:val="00456992"/>
    <w:rsid w:val="004574F7"/>
    <w:rsid w:val="0046232E"/>
    <w:rsid w:val="0047359B"/>
    <w:rsid w:val="004762A3"/>
    <w:rsid w:val="004808C9"/>
    <w:rsid w:val="004922A5"/>
    <w:rsid w:val="00492604"/>
    <w:rsid w:val="00493C09"/>
    <w:rsid w:val="004977DE"/>
    <w:rsid w:val="004A22DA"/>
    <w:rsid w:val="004A52A6"/>
    <w:rsid w:val="004B1385"/>
    <w:rsid w:val="004B5A3E"/>
    <w:rsid w:val="004C05B3"/>
    <w:rsid w:val="004C4842"/>
    <w:rsid w:val="004C5012"/>
    <w:rsid w:val="004E07E5"/>
    <w:rsid w:val="004E13F9"/>
    <w:rsid w:val="004E2216"/>
    <w:rsid w:val="004E59FB"/>
    <w:rsid w:val="004F4F35"/>
    <w:rsid w:val="004F5FC5"/>
    <w:rsid w:val="004F716D"/>
    <w:rsid w:val="0050088A"/>
    <w:rsid w:val="00510B4F"/>
    <w:rsid w:val="00514F56"/>
    <w:rsid w:val="005213FD"/>
    <w:rsid w:val="005304E0"/>
    <w:rsid w:val="005373C2"/>
    <w:rsid w:val="00544484"/>
    <w:rsid w:val="00544D14"/>
    <w:rsid w:val="005451DE"/>
    <w:rsid w:val="0054554C"/>
    <w:rsid w:val="00551E36"/>
    <w:rsid w:val="005544F2"/>
    <w:rsid w:val="005645AC"/>
    <w:rsid w:val="0057102E"/>
    <w:rsid w:val="00583418"/>
    <w:rsid w:val="005951FF"/>
    <w:rsid w:val="005A09AD"/>
    <w:rsid w:val="005B06FE"/>
    <w:rsid w:val="005B17F3"/>
    <w:rsid w:val="005C085D"/>
    <w:rsid w:val="005C1355"/>
    <w:rsid w:val="005C4C0E"/>
    <w:rsid w:val="005C59A2"/>
    <w:rsid w:val="005D2E7C"/>
    <w:rsid w:val="005E3A75"/>
    <w:rsid w:val="005E551C"/>
    <w:rsid w:val="006138CC"/>
    <w:rsid w:val="00615487"/>
    <w:rsid w:val="006161AC"/>
    <w:rsid w:val="00630442"/>
    <w:rsid w:val="006330C0"/>
    <w:rsid w:val="00640666"/>
    <w:rsid w:val="00643956"/>
    <w:rsid w:val="00644583"/>
    <w:rsid w:val="00647C47"/>
    <w:rsid w:val="006607CE"/>
    <w:rsid w:val="006778EF"/>
    <w:rsid w:val="006A04CF"/>
    <w:rsid w:val="006A3E24"/>
    <w:rsid w:val="006A5C79"/>
    <w:rsid w:val="006A75F1"/>
    <w:rsid w:val="006B24FA"/>
    <w:rsid w:val="006B2D7A"/>
    <w:rsid w:val="006B31A9"/>
    <w:rsid w:val="006C2E98"/>
    <w:rsid w:val="006C5E10"/>
    <w:rsid w:val="006D5276"/>
    <w:rsid w:val="006D5AC4"/>
    <w:rsid w:val="006E262D"/>
    <w:rsid w:val="006E3FBB"/>
    <w:rsid w:val="006F132B"/>
    <w:rsid w:val="00702306"/>
    <w:rsid w:val="00710BAE"/>
    <w:rsid w:val="00722480"/>
    <w:rsid w:val="00723E41"/>
    <w:rsid w:val="00725982"/>
    <w:rsid w:val="00736C2C"/>
    <w:rsid w:val="007459BD"/>
    <w:rsid w:val="00746E7B"/>
    <w:rsid w:val="007609EA"/>
    <w:rsid w:val="00760E31"/>
    <w:rsid w:val="007630A3"/>
    <w:rsid w:val="00770FA1"/>
    <w:rsid w:val="00774797"/>
    <w:rsid w:val="007771F1"/>
    <w:rsid w:val="007904D1"/>
    <w:rsid w:val="00790FAD"/>
    <w:rsid w:val="00792481"/>
    <w:rsid w:val="00795084"/>
    <w:rsid w:val="0079622C"/>
    <w:rsid w:val="007B0CFA"/>
    <w:rsid w:val="007C328B"/>
    <w:rsid w:val="007C79AB"/>
    <w:rsid w:val="007D218D"/>
    <w:rsid w:val="007E0F27"/>
    <w:rsid w:val="007E5950"/>
    <w:rsid w:val="007E59C8"/>
    <w:rsid w:val="007F0C11"/>
    <w:rsid w:val="007F1607"/>
    <w:rsid w:val="007F6A38"/>
    <w:rsid w:val="00813358"/>
    <w:rsid w:val="00815899"/>
    <w:rsid w:val="0082388B"/>
    <w:rsid w:val="0082737C"/>
    <w:rsid w:val="00830D0B"/>
    <w:rsid w:val="00834077"/>
    <w:rsid w:val="0084567F"/>
    <w:rsid w:val="00846F40"/>
    <w:rsid w:val="008559E8"/>
    <w:rsid w:val="00857607"/>
    <w:rsid w:val="00860F0A"/>
    <w:rsid w:val="00865A73"/>
    <w:rsid w:val="008724B6"/>
    <w:rsid w:val="008762AC"/>
    <w:rsid w:val="00877A5E"/>
    <w:rsid w:val="00881ACD"/>
    <w:rsid w:val="00883853"/>
    <w:rsid w:val="00883D74"/>
    <w:rsid w:val="00894777"/>
    <w:rsid w:val="00897834"/>
    <w:rsid w:val="008B03DB"/>
    <w:rsid w:val="008B0407"/>
    <w:rsid w:val="008B234D"/>
    <w:rsid w:val="008B2FAE"/>
    <w:rsid w:val="008C0506"/>
    <w:rsid w:val="008C0515"/>
    <w:rsid w:val="008C17B0"/>
    <w:rsid w:val="008C49A7"/>
    <w:rsid w:val="008D1909"/>
    <w:rsid w:val="008D1E6C"/>
    <w:rsid w:val="008D2832"/>
    <w:rsid w:val="008D3509"/>
    <w:rsid w:val="008D4DD4"/>
    <w:rsid w:val="008D5956"/>
    <w:rsid w:val="008E1070"/>
    <w:rsid w:val="008E3582"/>
    <w:rsid w:val="008F2ABD"/>
    <w:rsid w:val="008F3DAD"/>
    <w:rsid w:val="008F4DC8"/>
    <w:rsid w:val="009003B5"/>
    <w:rsid w:val="009045A8"/>
    <w:rsid w:val="009056E7"/>
    <w:rsid w:val="00906033"/>
    <w:rsid w:val="00907C5D"/>
    <w:rsid w:val="00910965"/>
    <w:rsid w:val="0091257C"/>
    <w:rsid w:val="0091451E"/>
    <w:rsid w:val="0091694F"/>
    <w:rsid w:val="00920E02"/>
    <w:rsid w:val="009239E2"/>
    <w:rsid w:val="0093086F"/>
    <w:rsid w:val="009308B6"/>
    <w:rsid w:val="00931C73"/>
    <w:rsid w:val="00933B26"/>
    <w:rsid w:val="00933BA6"/>
    <w:rsid w:val="00933C6A"/>
    <w:rsid w:val="0094235C"/>
    <w:rsid w:val="00950D69"/>
    <w:rsid w:val="00961B73"/>
    <w:rsid w:val="00963943"/>
    <w:rsid w:val="00966B18"/>
    <w:rsid w:val="00974ECE"/>
    <w:rsid w:val="00981EC6"/>
    <w:rsid w:val="00992152"/>
    <w:rsid w:val="009960E7"/>
    <w:rsid w:val="00997CA5"/>
    <w:rsid w:val="009A3311"/>
    <w:rsid w:val="009A359E"/>
    <w:rsid w:val="009A3702"/>
    <w:rsid w:val="009A3C8E"/>
    <w:rsid w:val="009A400F"/>
    <w:rsid w:val="009A41A9"/>
    <w:rsid w:val="009A790C"/>
    <w:rsid w:val="009B2A35"/>
    <w:rsid w:val="009B5A4F"/>
    <w:rsid w:val="009C2C50"/>
    <w:rsid w:val="009C6E15"/>
    <w:rsid w:val="009D266C"/>
    <w:rsid w:val="009E1854"/>
    <w:rsid w:val="009E448E"/>
    <w:rsid w:val="009F2631"/>
    <w:rsid w:val="009F5378"/>
    <w:rsid w:val="00A00902"/>
    <w:rsid w:val="00A03099"/>
    <w:rsid w:val="00A03A4A"/>
    <w:rsid w:val="00A0447C"/>
    <w:rsid w:val="00A131B6"/>
    <w:rsid w:val="00A160E7"/>
    <w:rsid w:val="00A17AD8"/>
    <w:rsid w:val="00A17BB6"/>
    <w:rsid w:val="00A21628"/>
    <w:rsid w:val="00A2471D"/>
    <w:rsid w:val="00A266CB"/>
    <w:rsid w:val="00A306B2"/>
    <w:rsid w:val="00A347D3"/>
    <w:rsid w:val="00A35C8D"/>
    <w:rsid w:val="00A35F89"/>
    <w:rsid w:val="00A40B98"/>
    <w:rsid w:val="00A455D5"/>
    <w:rsid w:val="00A459CC"/>
    <w:rsid w:val="00A50479"/>
    <w:rsid w:val="00A56C52"/>
    <w:rsid w:val="00A605F0"/>
    <w:rsid w:val="00A60CFA"/>
    <w:rsid w:val="00A64AE7"/>
    <w:rsid w:val="00A70CEB"/>
    <w:rsid w:val="00A73108"/>
    <w:rsid w:val="00A73CC5"/>
    <w:rsid w:val="00A74084"/>
    <w:rsid w:val="00A871F0"/>
    <w:rsid w:val="00A9181F"/>
    <w:rsid w:val="00A92DEB"/>
    <w:rsid w:val="00A92E23"/>
    <w:rsid w:val="00AA71AF"/>
    <w:rsid w:val="00AA7FD6"/>
    <w:rsid w:val="00AC0B82"/>
    <w:rsid w:val="00AC77BD"/>
    <w:rsid w:val="00AD061B"/>
    <w:rsid w:val="00AD5F78"/>
    <w:rsid w:val="00AE0759"/>
    <w:rsid w:val="00AE7A8E"/>
    <w:rsid w:val="00AE7ED1"/>
    <w:rsid w:val="00AF1517"/>
    <w:rsid w:val="00AF4AA1"/>
    <w:rsid w:val="00AF60FC"/>
    <w:rsid w:val="00B0600B"/>
    <w:rsid w:val="00B11BB2"/>
    <w:rsid w:val="00B130CE"/>
    <w:rsid w:val="00B213A9"/>
    <w:rsid w:val="00B24C86"/>
    <w:rsid w:val="00B26F86"/>
    <w:rsid w:val="00B2777C"/>
    <w:rsid w:val="00B32EEF"/>
    <w:rsid w:val="00B33806"/>
    <w:rsid w:val="00B428D6"/>
    <w:rsid w:val="00B42F99"/>
    <w:rsid w:val="00B44433"/>
    <w:rsid w:val="00B46329"/>
    <w:rsid w:val="00B5030E"/>
    <w:rsid w:val="00B50ABF"/>
    <w:rsid w:val="00B6065A"/>
    <w:rsid w:val="00B67BF7"/>
    <w:rsid w:val="00B717B1"/>
    <w:rsid w:val="00B71937"/>
    <w:rsid w:val="00B73ACF"/>
    <w:rsid w:val="00B744BF"/>
    <w:rsid w:val="00B77766"/>
    <w:rsid w:val="00B812DD"/>
    <w:rsid w:val="00B82334"/>
    <w:rsid w:val="00B841AD"/>
    <w:rsid w:val="00B8565A"/>
    <w:rsid w:val="00B917C0"/>
    <w:rsid w:val="00B928EA"/>
    <w:rsid w:val="00B9552A"/>
    <w:rsid w:val="00BA3E0E"/>
    <w:rsid w:val="00BA4897"/>
    <w:rsid w:val="00BA75B2"/>
    <w:rsid w:val="00BB55EF"/>
    <w:rsid w:val="00BB791F"/>
    <w:rsid w:val="00BC1A91"/>
    <w:rsid w:val="00BC42A1"/>
    <w:rsid w:val="00BD0B61"/>
    <w:rsid w:val="00BD2A1F"/>
    <w:rsid w:val="00BD2D7F"/>
    <w:rsid w:val="00BE23A8"/>
    <w:rsid w:val="00C03699"/>
    <w:rsid w:val="00C04068"/>
    <w:rsid w:val="00C10D9E"/>
    <w:rsid w:val="00C11258"/>
    <w:rsid w:val="00C132DF"/>
    <w:rsid w:val="00C13816"/>
    <w:rsid w:val="00C13F21"/>
    <w:rsid w:val="00C14A5C"/>
    <w:rsid w:val="00C27B92"/>
    <w:rsid w:val="00C52C3B"/>
    <w:rsid w:val="00C53CE4"/>
    <w:rsid w:val="00C56765"/>
    <w:rsid w:val="00C61EFF"/>
    <w:rsid w:val="00C63A62"/>
    <w:rsid w:val="00C72746"/>
    <w:rsid w:val="00C746A8"/>
    <w:rsid w:val="00C76DEA"/>
    <w:rsid w:val="00C80B72"/>
    <w:rsid w:val="00C92377"/>
    <w:rsid w:val="00CB17C2"/>
    <w:rsid w:val="00CB58CA"/>
    <w:rsid w:val="00CB7802"/>
    <w:rsid w:val="00CC240B"/>
    <w:rsid w:val="00CC38BF"/>
    <w:rsid w:val="00CC545E"/>
    <w:rsid w:val="00CD315C"/>
    <w:rsid w:val="00CD4237"/>
    <w:rsid w:val="00CD6CD7"/>
    <w:rsid w:val="00CD792B"/>
    <w:rsid w:val="00CE765F"/>
    <w:rsid w:val="00CF24EF"/>
    <w:rsid w:val="00CF2C9A"/>
    <w:rsid w:val="00D0266B"/>
    <w:rsid w:val="00D02FB3"/>
    <w:rsid w:val="00D117BA"/>
    <w:rsid w:val="00D12226"/>
    <w:rsid w:val="00D22652"/>
    <w:rsid w:val="00D22866"/>
    <w:rsid w:val="00D32DC9"/>
    <w:rsid w:val="00D33540"/>
    <w:rsid w:val="00D34AD2"/>
    <w:rsid w:val="00D36F5C"/>
    <w:rsid w:val="00D401CB"/>
    <w:rsid w:val="00D532FE"/>
    <w:rsid w:val="00D549F6"/>
    <w:rsid w:val="00D56688"/>
    <w:rsid w:val="00D56ABC"/>
    <w:rsid w:val="00D57470"/>
    <w:rsid w:val="00D622FE"/>
    <w:rsid w:val="00D623B2"/>
    <w:rsid w:val="00D71D93"/>
    <w:rsid w:val="00D74905"/>
    <w:rsid w:val="00D76B05"/>
    <w:rsid w:val="00D773A6"/>
    <w:rsid w:val="00D901D3"/>
    <w:rsid w:val="00D907A4"/>
    <w:rsid w:val="00DA7507"/>
    <w:rsid w:val="00DB1474"/>
    <w:rsid w:val="00DB6568"/>
    <w:rsid w:val="00DD6F1C"/>
    <w:rsid w:val="00DE0EC6"/>
    <w:rsid w:val="00DE525A"/>
    <w:rsid w:val="00DE6FA4"/>
    <w:rsid w:val="00DE789B"/>
    <w:rsid w:val="00DF0CC5"/>
    <w:rsid w:val="00DF103A"/>
    <w:rsid w:val="00DF314A"/>
    <w:rsid w:val="00DF32A9"/>
    <w:rsid w:val="00DF60B5"/>
    <w:rsid w:val="00E0041B"/>
    <w:rsid w:val="00E05665"/>
    <w:rsid w:val="00E0712A"/>
    <w:rsid w:val="00E13FDC"/>
    <w:rsid w:val="00E15B74"/>
    <w:rsid w:val="00E24B30"/>
    <w:rsid w:val="00E2541D"/>
    <w:rsid w:val="00E42CAC"/>
    <w:rsid w:val="00E50240"/>
    <w:rsid w:val="00E50D78"/>
    <w:rsid w:val="00E51F66"/>
    <w:rsid w:val="00E54AF4"/>
    <w:rsid w:val="00E54B7D"/>
    <w:rsid w:val="00E55687"/>
    <w:rsid w:val="00E66C89"/>
    <w:rsid w:val="00E70284"/>
    <w:rsid w:val="00E70805"/>
    <w:rsid w:val="00E73398"/>
    <w:rsid w:val="00E749DC"/>
    <w:rsid w:val="00E82E3F"/>
    <w:rsid w:val="00E82F83"/>
    <w:rsid w:val="00E8341A"/>
    <w:rsid w:val="00E83B99"/>
    <w:rsid w:val="00E84A66"/>
    <w:rsid w:val="00E902FB"/>
    <w:rsid w:val="00E91890"/>
    <w:rsid w:val="00E9269A"/>
    <w:rsid w:val="00E92820"/>
    <w:rsid w:val="00EA27DE"/>
    <w:rsid w:val="00EA3A5D"/>
    <w:rsid w:val="00EA5BD6"/>
    <w:rsid w:val="00EA6ECE"/>
    <w:rsid w:val="00EB12F9"/>
    <w:rsid w:val="00EB2560"/>
    <w:rsid w:val="00EB4865"/>
    <w:rsid w:val="00EB48B4"/>
    <w:rsid w:val="00EB5E00"/>
    <w:rsid w:val="00EC18AD"/>
    <w:rsid w:val="00ED0B2E"/>
    <w:rsid w:val="00ED506E"/>
    <w:rsid w:val="00EE7A21"/>
    <w:rsid w:val="00EF00DF"/>
    <w:rsid w:val="00EF210E"/>
    <w:rsid w:val="00EF3732"/>
    <w:rsid w:val="00EF49CE"/>
    <w:rsid w:val="00F04C68"/>
    <w:rsid w:val="00F10783"/>
    <w:rsid w:val="00F16796"/>
    <w:rsid w:val="00F17A55"/>
    <w:rsid w:val="00F21AD0"/>
    <w:rsid w:val="00F23145"/>
    <w:rsid w:val="00F24877"/>
    <w:rsid w:val="00F24D11"/>
    <w:rsid w:val="00F276B3"/>
    <w:rsid w:val="00F31B50"/>
    <w:rsid w:val="00F43353"/>
    <w:rsid w:val="00F43393"/>
    <w:rsid w:val="00F44CF7"/>
    <w:rsid w:val="00F463D2"/>
    <w:rsid w:val="00F50053"/>
    <w:rsid w:val="00F52829"/>
    <w:rsid w:val="00F56B77"/>
    <w:rsid w:val="00F75BE9"/>
    <w:rsid w:val="00F76360"/>
    <w:rsid w:val="00F829B0"/>
    <w:rsid w:val="00F92CD3"/>
    <w:rsid w:val="00F95F7B"/>
    <w:rsid w:val="00FA2002"/>
    <w:rsid w:val="00FA30EA"/>
    <w:rsid w:val="00FC354A"/>
    <w:rsid w:val="00FC663D"/>
    <w:rsid w:val="00FC7A68"/>
    <w:rsid w:val="00FC7CE6"/>
    <w:rsid w:val="00FD515A"/>
    <w:rsid w:val="00FE22A3"/>
    <w:rsid w:val="00FE53DF"/>
    <w:rsid w:val="00FE6CC3"/>
    <w:rsid w:val="00FF5406"/>
    <w:rsid w:val="00FF61AC"/>
    <w:rsid w:val="00FF696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AF7D"/>
  <w15:docId w15:val="{031BA1E4-2EB3-4C3F-8AA4-F45A8257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jaVu Sans" w:hAnsi="Calibri" w:cs="Kartik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spacing w:after="200" w:line="276" w:lineRule="auto"/>
    </w:pPr>
    <w:rPr>
      <w:color w:val="00000A"/>
      <w:sz w:val="22"/>
    </w:rPr>
  </w:style>
  <w:style w:type="paragraph" w:styleId="Heading1">
    <w:name w:val="heading 1"/>
    <w:basedOn w:val="Normal"/>
    <w:link w:val="Heading1Char"/>
    <w:uiPriority w:val="9"/>
    <w:qFormat/>
    <w:rsid w:val="008F3DAD"/>
    <w:pPr>
      <w:widowControl w:val="0"/>
      <w:suppressAutoHyphens w:val="0"/>
      <w:overflowPunct/>
      <w:autoSpaceDE w:val="0"/>
      <w:autoSpaceDN w:val="0"/>
      <w:spacing w:after="0" w:line="240" w:lineRule="auto"/>
      <w:ind w:left="381"/>
      <w:outlineLvl w:val="0"/>
    </w:pPr>
    <w:rPr>
      <w:rFonts w:eastAsia="Calibri" w:cs="Calibri"/>
      <w:color w:val="auto"/>
      <w:sz w:val="31"/>
      <w:szCs w:val="31"/>
    </w:rPr>
  </w:style>
  <w:style w:type="paragraph" w:styleId="Heading2">
    <w:name w:val="heading 2"/>
    <w:basedOn w:val="Normal"/>
    <w:link w:val="Heading2Char"/>
    <w:uiPriority w:val="9"/>
    <w:unhideWhenUsed/>
    <w:qFormat/>
    <w:rsid w:val="008F3DAD"/>
    <w:pPr>
      <w:widowControl w:val="0"/>
      <w:suppressAutoHyphens w:val="0"/>
      <w:overflowPunct/>
      <w:autoSpaceDE w:val="0"/>
      <w:autoSpaceDN w:val="0"/>
      <w:spacing w:after="0" w:line="240" w:lineRule="auto"/>
      <w:ind w:left="166"/>
      <w:jc w:val="both"/>
      <w:outlineLvl w:val="1"/>
    </w:pPr>
    <w:rPr>
      <w:rFonts w:ascii="Arial" w:eastAsia="Arial" w:hAnsi="Arial" w:cs="Arial"/>
      <w:color w:val="auto"/>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Noto Sans CJK SC Regular"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1"/>
    <w:qFormat/>
    <w:pPr>
      <w:spacing w:after="160" w:line="252" w:lineRule="auto"/>
      <w:ind w:left="720"/>
      <w:contextualSpacing/>
    </w:pPr>
    <w:rPr>
      <w:rFonts w:eastAsia="Calibri"/>
      <w:lang w:val="en-IN"/>
    </w:rPr>
  </w:style>
  <w:style w:type="paragraph" w:customStyle="1" w:styleId="Style">
    <w:name w:val="Style"/>
    <w:qFormat/>
    <w:pPr>
      <w:suppressAutoHyphens/>
      <w:overflowPunct w:val="0"/>
      <w:spacing w:line="100" w:lineRule="atLeast"/>
    </w:pPr>
    <w:rPr>
      <w:rFonts w:ascii="Arial" w:eastAsia="Times New Roman" w:hAnsi="Arial" w:cs="Arial"/>
      <w:color w:val="00000A"/>
      <w:sz w:val="24"/>
      <w:szCs w:val="24"/>
      <w:lang w:eastAsia="ar-SA"/>
    </w:rPr>
  </w:style>
  <w:style w:type="character" w:customStyle="1" w:styleId="NoSpacingChar">
    <w:name w:val="No Spacing Char"/>
    <w:basedOn w:val="DefaultParagraphFont"/>
    <w:link w:val="NoSpacing"/>
    <w:uiPriority w:val="1"/>
    <w:locked/>
    <w:rsid w:val="00163B53"/>
  </w:style>
  <w:style w:type="paragraph" w:styleId="NoSpacing">
    <w:name w:val="No Spacing"/>
    <w:link w:val="NoSpacingChar"/>
    <w:uiPriority w:val="1"/>
    <w:qFormat/>
    <w:rsid w:val="00163B53"/>
  </w:style>
  <w:style w:type="character" w:styleId="Hyperlink">
    <w:name w:val="Hyperlink"/>
    <w:basedOn w:val="DefaultParagraphFont"/>
    <w:uiPriority w:val="99"/>
    <w:semiHidden/>
    <w:unhideWhenUsed/>
    <w:rsid w:val="00877A5E"/>
    <w:rPr>
      <w:color w:val="0563C1" w:themeColor="hyperlink"/>
      <w:u w:val="single"/>
    </w:rPr>
  </w:style>
  <w:style w:type="paragraph" w:styleId="Header">
    <w:name w:val="header"/>
    <w:basedOn w:val="Normal"/>
    <w:link w:val="HeaderChar"/>
    <w:uiPriority w:val="99"/>
    <w:unhideWhenUsed/>
    <w:rsid w:val="00E92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820"/>
    <w:rPr>
      <w:color w:val="00000A"/>
      <w:sz w:val="22"/>
    </w:rPr>
  </w:style>
  <w:style w:type="paragraph" w:styleId="Footer">
    <w:name w:val="footer"/>
    <w:basedOn w:val="Normal"/>
    <w:link w:val="FooterChar"/>
    <w:uiPriority w:val="99"/>
    <w:unhideWhenUsed/>
    <w:rsid w:val="00E92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820"/>
    <w:rPr>
      <w:color w:val="00000A"/>
      <w:sz w:val="22"/>
    </w:rPr>
  </w:style>
  <w:style w:type="paragraph" w:customStyle="1" w:styleId="western">
    <w:name w:val="western"/>
    <w:basedOn w:val="Normal"/>
    <w:rsid w:val="00A60CFA"/>
    <w:pPr>
      <w:suppressAutoHyphens w:val="0"/>
      <w:overflowPunct/>
      <w:spacing w:before="100" w:beforeAutospacing="1" w:after="119" w:line="288" w:lineRule="auto"/>
    </w:pPr>
    <w:rPr>
      <w:rFonts w:ascii="Liberation Serif" w:eastAsia="Times New Roman" w:hAnsi="Liberation Serif" w:cs="Times New Roman"/>
      <w:sz w:val="24"/>
      <w:szCs w:val="24"/>
      <w:lang w:val="en-IN" w:eastAsia="en-IN" w:bidi="ml-IN"/>
    </w:rPr>
  </w:style>
  <w:style w:type="paragraph" w:styleId="BalloonText">
    <w:name w:val="Balloon Text"/>
    <w:basedOn w:val="Normal"/>
    <w:link w:val="BalloonTextChar"/>
    <w:uiPriority w:val="99"/>
    <w:semiHidden/>
    <w:unhideWhenUsed/>
    <w:rsid w:val="002F1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D3"/>
    <w:rPr>
      <w:rFonts w:ascii="Segoe UI" w:hAnsi="Segoe UI" w:cs="Segoe UI"/>
      <w:color w:val="00000A"/>
      <w:sz w:val="18"/>
      <w:szCs w:val="18"/>
    </w:rPr>
  </w:style>
  <w:style w:type="character" w:customStyle="1" w:styleId="Heading1Char">
    <w:name w:val="Heading 1 Char"/>
    <w:basedOn w:val="DefaultParagraphFont"/>
    <w:link w:val="Heading1"/>
    <w:uiPriority w:val="9"/>
    <w:rsid w:val="008F3DAD"/>
    <w:rPr>
      <w:rFonts w:eastAsia="Calibri" w:cs="Calibri"/>
      <w:sz w:val="31"/>
      <w:szCs w:val="31"/>
    </w:rPr>
  </w:style>
  <w:style w:type="character" w:customStyle="1" w:styleId="Heading2Char">
    <w:name w:val="Heading 2 Char"/>
    <w:basedOn w:val="DefaultParagraphFont"/>
    <w:link w:val="Heading2"/>
    <w:uiPriority w:val="9"/>
    <w:rsid w:val="008F3DAD"/>
    <w:rPr>
      <w:rFonts w:ascii="Arial" w:eastAsia="Arial" w:hAnsi="Arial" w:cs="Arial"/>
      <w:sz w:val="30"/>
      <w:szCs w:val="30"/>
    </w:rPr>
  </w:style>
  <w:style w:type="paragraph" w:customStyle="1" w:styleId="msonormal0">
    <w:name w:val="msonormal"/>
    <w:basedOn w:val="Normal"/>
    <w:rsid w:val="008F3DAD"/>
    <w:pPr>
      <w:suppressAutoHyphens w:val="0"/>
      <w:overflowPunct/>
      <w:spacing w:before="100" w:beforeAutospacing="1" w:after="100" w:afterAutospacing="1" w:line="240" w:lineRule="auto"/>
    </w:pPr>
    <w:rPr>
      <w:rFonts w:ascii="Times New Roman" w:eastAsia="Times New Roman" w:hAnsi="Times New Roman" w:cs="Times New Roman"/>
      <w:color w:val="auto"/>
      <w:sz w:val="24"/>
      <w:szCs w:val="24"/>
      <w:lang w:val="en-IN" w:eastAsia="en-IN" w:bidi="ml-IN"/>
    </w:rPr>
  </w:style>
  <w:style w:type="paragraph" w:styleId="Title">
    <w:name w:val="Title"/>
    <w:basedOn w:val="Normal"/>
    <w:link w:val="TitleChar"/>
    <w:uiPriority w:val="10"/>
    <w:qFormat/>
    <w:rsid w:val="008F3DAD"/>
    <w:pPr>
      <w:widowControl w:val="0"/>
      <w:suppressAutoHyphens w:val="0"/>
      <w:overflowPunct/>
      <w:autoSpaceDE w:val="0"/>
      <w:autoSpaceDN w:val="0"/>
      <w:spacing w:after="0" w:line="240" w:lineRule="auto"/>
      <w:ind w:left="284"/>
    </w:pPr>
    <w:rPr>
      <w:rFonts w:eastAsia="Calibri" w:cs="Calibri"/>
      <w:color w:val="auto"/>
      <w:sz w:val="32"/>
      <w:szCs w:val="32"/>
    </w:rPr>
  </w:style>
  <w:style w:type="character" w:customStyle="1" w:styleId="TitleChar">
    <w:name w:val="Title Char"/>
    <w:basedOn w:val="DefaultParagraphFont"/>
    <w:link w:val="Title"/>
    <w:uiPriority w:val="10"/>
    <w:rsid w:val="008F3DAD"/>
    <w:rPr>
      <w:rFonts w:eastAsia="Calibri" w:cs="Calibri"/>
      <w:sz w:val="32"/>
      <w:szCs w:val="32"/>
    </w:rPr>
  </w:style>
  <w:style w:type="paragraph" w:styleId="BodyText">
    <w:name w:val="Body Text"/>
    <w:basedOn w:val="Normal"/>
    <w:link w:val="BodyTextChar"/>
    <w:uiPriority w:val="1"/>
    <w:unhideWhenUsed/>
    <w:qFormat/>
    <w:rsid w:val="008F3DAD"/>
    <w:pPr>
      <w:widowControl w:val="0"/>
      <w:suppressAutoHyphens w:val="0"/>
      <w:overflowPunct/>
      <w:autoSpaceDE w:val="0"/>
      <w:autoSpaceDN w:val="0"/>
      <w:spacing w:after="0" w:line="240" w:lineRule="auto"/>
    </w:pPr>
    <w:rPr>
      <w:rFonts w:ascii="Arial" w:eastAsia="Arial" w:hAnsi="Arial" w:cs="Arial"/>
      <w:color w:val="auto"/>
      <w:sz w:val="29"/>
      <w:szCs w:val="29"/>
    </w:rPr>
  </w:style>
  <w:style w:type="character" w:customStyle="1" w:styleId="BodyTextChar">
    <w:name w:val="Body Text Char"/>
    <w:basedOn w:val="DefaultParagraphFont"/>
    <w:link w:val="BodyText"/>
    <w:uiPriority w:val="1"/>
    <w:rsid w:val="008F3DAD"/>
    <w:rPr>
      <w:rFonts w:ascii="Arial" w:eastAsia="Arial" w:hAnsi="Arial" w:cs="Arial"/>
      <w:sz w:val="29"/>
      <w:szCs w:val="29"/>
    </w:rPr>
  </w:style>
  <w:style w:type="paragraph" w:customStyle="1" w:styleId="TableParagraph">
    <w:name w:val="Table Paragraph"/>
    <w:basedOn w:val="Normal"/>
    <w:uiPriority w:val="1"/>
    <w:qFormat/>
    <w:rsid w:val="008F3DAD"/>
    <w:pPr>
      <w:widowControl w:val="0"/>
      <w:suppressAutoHyphens w:val="0"/>
      <w:overflowPunct/>
      <w:autoSpaceDE w:val="0"/>
      <w:autoSpaceDN w:val="0"/>
      <w:spacing w:before="102" w:after="0" w:line="240" w:lineRule="auto"/>
      <w:ind w:left="107"/>
    </w:pPr>
    <w:rPr>
      <w:rFonts w:ascii="Arial" w:eastAsia="Arial" w:hAnsi="Arial" w:cs="Arial"/>
      <w:color w:val="auto"/>
      <w:u w:val="single" w:color="000000"/>
    </w:rPr>
  </w:style>
  <w:style w:type="table" w:styleId="TableGrid">
    <w:name w:val="Table Grid"/>
    <w:basedOn w:val="TableNormal"/>
    <w:uiPriority w:val="39"/>
    <w:rsid w:val="00191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5897">
      <w:bodyDiv w:val="1"/>
      <w:marLeft w:val="0"/>
      <w:marRight w:val="0"/>
      <w:marTop w:val="0"/>
      <w:marBottom w:val="0"/>
      <w:divBdr>
        <w:top w:val="none" w:sz="0" w:space="0" w:color="auto"/>
        <w:left w:val="none" w:sz="0" w:space="0" w:color="auto"/>
        <w:bottom w:val="none" w:sz="0" w:space="0" w:color="auto"/>
        <w:right w:val="none" w:sz="0" w:space="0" w:color="auto"/>
      </w:divBdr>
    </w:div>
    <w:div w:id="248925719">
      <w:bodyDiv w:val="1"/>
      <w:marLeft w:val="0"/>
      <w:marRight w:val="0"/>
      <w:marTop w:val="0"/>
      <w:marBottom w:val="0"/>
      <w:divBdr>
        <w:top w:val="none" w:sz="0" w:space="0" w:color="auto"/>
        <w:left w:val="none" w:sz="0" w:space="0" w:color="auto"/>
        <w:bottom w:val="none" w:sz="0" w:space="0" w:color="auto"/>
        <w:right w:val="none" w:sz="0" w:space="0" w:color="auto"/>
      </w:divBdr>
    </w:div>
    <w:div w:id="263389288">
      <w:bodyDiv w:val="1"/>
      <w:marLeft w:val="0"/>
      <w:marRight w:val="0"/>
      <w:marTop w:val="0"/>
      <w:marBottom w:val="0"/>
      <w:divBdr>
        <w:top w:val="none" w:sz="0" w:space="0" w:color="auto"/>
        <w:left w:val="none" w:sz="0" w:space="0" w:color="auto"/>
        <w:bottom w:val="none" w:sz="0" w:space="0" w:color="auto"/>
        <w:right w:val="none" w:sz="0" w:space="0" w:color="auto"/>
      </w:divBdr>
    </w:div>
    <w:div w:id="296104137">
      <w:bodyDiv w:val="1"/>
      <w:marLeft w:val="0"/>
      <w:marRight w:val="0"/>
      <w:marTop w:val="0"/>
      <w:marBottom w:val="0"/>
      <w:divBdr>
        <w:top w:val="none" w:sz="0" w:space="0" w:color="auto"/>
        <w:left w:val="none" w:sz="0" w:space="0" w:color="auto"/>
        <w:bottom w:val="none" w:sz="0" w:space="0" w:color="auto"/>
        <w:right w:val="none" w:sz="0" w:space="0" w:color="auto"/>
      </w:divBdr>
    </w:div>
    <w:div w:id="632637101">
      <w:bodyDiv w:val="1"/>
      <w:marLeft w:val="0"/>
      <w:marRight w:val="0"/>
      <w:marTop w:val="0"/>
      <w:marBottom w:val="0"/>
      <w:divBdr>
        <w:top w:val="none" w:sz="0" w:space="0" w:color="auto"/>
        <w:left w:val="none" w:sz="0" w:space="0" w:color="auto"/>
        <w:bottom w:val="none" w:sz="0" w:space="0" w:color="auto"/>
        <w:right w:val="none" w:sz="0" w:space="0" w:color="auto"/>
      </w:divBdr>
    </w:div>
    <w:div w:id="998970204">
      <w:bodyDiv w:val="1"/>
      <w:marLeft w:val="0"/>
      <w:marRight w:val="0"/>
      <w:marTop w:val="0"/>
      <w:marBottom w:val="0"/>
      <w:divBdr>
        <w:top w:val="none" w:sz="0" w:space="0" w:color="auto"/>
        <w:left w:val="none" w:sz="0" w:space="0" w:color="auto"/>
        <w:bottom w:val="none" w:sz="0" w:space="0" w:color="auto"/>
        <w:right w:val="none" w:sz="0" w:space="0" w:color="auto"/>
      </w:divBdr>
    </w:div>
    <w:div w:id="1060401704">
      <w:bodyDiv w:val="1"/>
      <w:marLeft w:val="0"/>
      <w:marRight w:val="0"/>
      <w:marTop w:val="0"/>
      <w:marBottom w:val="0"/>
      <w:divBdr>
        <w:top w:val="none" w:sz="0" w:space="0" w:color="auto"/>
        <w:left w:val="none" w:sz="0" w:space="0" w:color="auto"/>
        <w:bottom w:val="none" w:sz="0" w:space="0" w:color="auto"/>
        <w:right w:val="none" w:sz="0" w:space="0" w:color="auto"/>
      </w:divBdr>
    </w:div>
    <w:div w:id="1139113039">
      <w:bodyDiv w:val="1"/>
      <w:marLeft w:val="0"/>
      <w:marRight w:val="0"/>
      <w:marTop w:val="0"/>
      <w:marBottom w:val="0"/>
      <w:divBdr>
        <w:top w:val="none" w:sz="0" w:space="0" w:color="auto"/>
        <w:left w:val="none" w:sz="0" w:space="0" w:color="auto"/>
        <w:bottom w:val="none" w:sz="0" w:space="0" w:color="auto"/>
        <w:right w:val="none" w:sz="0" w:space="0" w:color="auto"/>
      </w:divBdr>
    </w:div>
    <w:div w:id="1141658737">
      <w:bodyDiv w:val="1"/>
      <w:marLeft w:val="0"/>
      <w:marRight w:val="0"/>
      <w:marTop w:val="0"/>
      <w:marBottom w:val="0"/>
      <w:divBdr>
        <w:top w:val="none" w:sz="0" w:space="0" w:color="auto"/>
        <w:left w:val="none" w:sz="0" w:space="0" w:color="auto"/>
        <w:bottom w:val="none" w:sz="0" w:space="0" w:color="auto"/>
        <w:right w:val="none" w:sz="0" w:space="0" w:color="auto"/>
      </w:divBdr>
    </w:div>
    <w:div w:id="1203859918">
      <w:bodyDiv w:val="1"/>
      <w:marLeft w:val="0"/>
      <w:marRight w:val="0"/>
      <w:marTop w:val="0"/>
      <w:marBottom w:val="0"/>
      <w:divBdr>
        <w:top w:val="none" w:sz="0" w:space="0" w:color="auto"/>
        <w:left w:val="none" w:sz="0" w:space="0" w:color="auto"/>
        <w:bottom w:val="none" w:sz="0" w:space="0" w:color="auto"/>
        <w:right w:val="none" w:sz="0" w:space="0" w:color="auto"/>
      </w:divBdr>
    </w:div>
    <w:div w:id="1295217687">
      <w:bodyDiv w:val="1"/>
      <w:marLeft w:val="0"/>
      <w:marRight w:val="0"/>
      <w:marTop w:val="0"/>
      <w:marBottom w:val="0"/>
      <w:divBdr>
        <w:top w:val="none" w:sz="0" w:space="0" w:color="auto"/>
        <w:left w:val="none" w:sz="0" w:space="0" w:color="auto"/>
        <w:bottom w:val="none" w:sz="0" w:space="0" w:color="auto"/>
        <w:right w:val="none" w:sz="0" w:space="0" w:color="auto"/>
      </w:divBdr>
    </w:div>
    <w:div w:id="1543439386">
      <w:bodyDiv w:val="1"/>
      <w:marLeft w:val="0"/>
      <w:marRight w:val="0"/>
      <w:marTop w:val="0"/>
      <w:marBottom w:val="0"/>
      <w:divBdr>
        <w:top w:val="none" w:sz="0" w:space="0" w:color="auto"/>
        <w:left w:val="none" w:sz="0" w:space="0" w:color="auto"/>
        <w:bottom w:val="none" w:sz="0" w:space="0" w:color="auto"/>
        <w:right w:val="none" w:sz="0" w:space="0" w:color="auto"/>
      </w:divBdr>
    </w:div>
    <w:div w:id="1649631056">
      <w:bodyDiv w:val="1"/>
      <w:marLeft w:val="0"/>
      <w:marRight w:val="0"/>
      <w:marTop w:val="0"/>
      <w:marBottom w:val="0"/>
      <w:divBdr>
        <w:top w:val="none" w:sz="0" w:space="0" w:color="auto"/>
        <w:left w:val="none" w:sz="0" w:space="0" w:color="auto"/>
        <w:bottom w:val="none" w:sz="0" w:space="0" w:color="auto"/>
        <w:right w:val="none" w:sz="0" w:space="0" w:color="auto"/>
      </w:divBdr>
    </w:div>
    <w:div w:id="1972469216">
      <w:bodyDiv w:val="1"/>
      <w:marLeft w:val="0"/>
      <w:marRight w:val="0"/>
      <w:marTop w:val="0"/>
      <w:marBottom w:val="0"/>
      <w:divBdr>
        <w:top w:val="none" w:sz="0" w:space="0" w:color="auto"/>
        <w:left w:val="none" w:sz="0" w:space="0" w:color="auto"/>
        <w:bottom w:val="none" w:sz="0" w:space="0" w:color="auto"/>
        <w:right w:val="none" w:sz="0" w:space="0" w:color="auto"/>
      </w:divBdr>
    </w:div>
    <w:div w:id="2026977040">
      <w:bodyDiv w:val="1"/>
      <w:marLeft w:val="0"/>
      <w:marRight w:val="0"/>
      <w:marTop w:val="0"/>
      <w:marBottom w:val="0"/>
      <w:divBdr>
        <w:top w:val="none" w:sz="0" w:space="0" w:color="auto"/>
        <w:left w:val="none" w:sz="0" w:space="0" w:color="auto"/>
        <w:bottom w:val="none" w:sz="0" w:space="0" w:color="auto"/>
        <w:right w:val="none" w:sz="0" w:space="0" w:color="auto"/>
      </w:divBdr>
    </w:div>
    <w:div w:id="2054033280">
      <w:bodyDiv w:val="1"/>
      <w:marLeft w:val="0"/>
      <w:marRight w:val="0"/>
      <w:marTop w:val="0"/>
      <w:marBottom w:val="0"/>
      <w:divBdr>
        <w:top w:val="none" w:sz="0" w:space="0" w:color="auto"/>
        <w:left w:val="none" w:sz="0" w:space="0" w:color="auto"/>
        <w:bottom w:val="none" w:sz="0" w:space="0" w:color="auto"/>
        <w:right w:val="none" w:sz="0" w:space="0" w:color="auto"/>
      </w:divBdr>
    </w:div>
    <w:div w:id="208483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ralae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KK</cp:lastModifiedBy>
  <cp:revision>22</cp:revision>
  <cp:lastPrinted>2022-04-07T09:39:00Z</cp:lastPrinted>
  <dcterms:created xsi:type="dcterms:W3CDTF">2022-04-05T10:45:00Z</dcterms:created>
  <dcterms:modified xsi:type="dcterms:W3CDTF">2022-04-13T06:39:00Z</dcterms:modified>
  <dc:language>en-IN</dc:language>
</cp:coreProperties>
</file>